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7E95C" w14:textId="77777777" w:rsidR="00935FC1" w:rsidRDefault="00935FC1" w:rsidP="00867C58">
      <w:pPr>
        <w:spacing w:line="276" w:lineRule="auto"/>
        <w:jc w:val="center"/>
        <w:rPr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33B1CF87" w14:textId="2ABB4BCE" w:rsidR="00867C58" w:rsidRPr="00867C58" w:rsidRDefault="00867C58" w:rsidP="00867C58">
      <w:pPr>
        <w:spacing w:line="276" w:lineRule="auto"/>
        <w:jc w:val="center"/>
        <w:rPr>
          <w:b/>
          <w:bCs/>
          <w:color w:val="auto"/>
          <w:kern w:val="2"/>
          <w:sz w:val="22"/>
          <w:szCs w:val="22"/>
          <w14:ligatures w14:val="standardContextual"/>
        </w:rPr>
      </w:pPr>
      <w:r w:rsidRPr="00867C58">
        <w:rPr>
          <w:b/>
          <w:bCs/>
          <w:color w:val="auto"/>
          <w:kern w:val="2"/>
          <w:sz w:val="22"/>
          <w:szCs w:val="22"/>
          <w14:ligatures w14:val="standardContextual"/>
        </w:rPr>
        <w:t>Oświadczenie dotyczące przesłanek wykluczenia z otrzymania wsparcia</w:t>
      </w:r>
    </w:p>
    <w:p w14:paraId="47734137" w14:textId="77777777" w:rsidR="00867C58" w:rsidRDefault="00867C58" w:rsidP="00867C58">
      <w:pPr>
        <w:spacing w:line="276" w:lineRule="auto"/>
        <w:jc w:val="center"/>
        <w:rPr>
          <w:b/>
          <w:bCs/>
          <w:color w:val="auto"/>
          <w:kern w:val="2"/>
          <w:sz w:val="22"/>
          <w:szCs w:val="22"/>
          <w14:ligatures w14:val="standardContextual"/>
        </w:rPr>
      </w:pPr>
      <w:r w:rsidRPr="00867C58">
        <w:rPr>
          <w:b/>
          <w:bCs/>
          <w:color w:val="auto"/>
          <w:kern w:val="2"/>
          <w:sz w:val="22"/>
          <w:szCs w:val="22"/>
          <w14:ligatures w14:val="standardContextual"/>
        </w:rPr>
        <w:t>w ramach Instrumentu Finansowego „Pożyczka Rozwojowa”</w:t>
      </w:r>
    </w:p>
    <w:p w14:paraId="496F2D9E" w14:textId="77777777" w:rsidR="00867C58" w:rsidRDefault="00867C58" w:rsidP="00867C58">
      <w:pPr>
        <w:spacing w:line="276" w:lineRule="auto"/>
        <w:rPr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31B1E3CD" w14:textId="77777777" w:rsidR="00867C58" w:rsidRPr="00867C58" w:rsidRDefault="00867C58" w:rsidP="00867C58">
      <w:pPr>
        <w:spacing w:line="276" w:lineRule="auto"/>
        <w:rPr>
          <w:b/>
          <w:bCs/>
          <w:color w:val="auto"/>
          <w:kern w:val="2"/>
          <w:sz w:val="22"/>
          <w:szCs w:val="22"/>
          <w14:ligatures w14:val="standardContextual"/>
        </w:rPr>
      </w:pPr>
    </w:p>
    <w:p w14:paraId="2B99A649" w14:textId="77777777" w:rsidR="00867C58" w:rsidRPr="00867C58" w:rsidRDefault="00867C58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  <w:r w:rsidRPr="00867C58">
        <w:rPr>
          <w:color w:val="auto"/>
          <w:kern w:val="2"/>
          <w:sz w:val="22"/>
          <w:szCs w:val="22"/>
          <w14:ligatures w14:val="standardContextual"/>
        </w:rPr>
        <w:t>Działając w imieniu Pożyczkobiorcy ………………………………………………………………………………………</w:t>
      </w:r>
    </w:p>
    <w:p w14:paraId="408D070D" w14:textId="77777777" w:rsidR="00867C58" w:rsidRPr="00867C58" w:rsidRDefault="00867C58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  <w:r w:rsidRPr="00867C58">
        <w:rPr>
          <w:color w:val="auto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………………………………………………………………………………………………………………………………………………..</w:t>
      </w:r>
    </w:p>
    <w:p w14:paraId="7D5450F7" w14:textId="77777777" w:rsidR="00867C58" w:rsidRPr="00867C58" w:rsidRDefault="00867C58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  <w:r w:rsidRPr="00867C58">
        <w:rPr>
          <w:color w:val="auto"/>
          <w:kern w:val="2"/>
          <w:sz w:val="22"/>
          <w:szCs w:val="22"/>
          <w14:ligatures w14:val="standardContextual"/>
        </w:rPr>
        <w:t>(pełna nazwa Pożyczkobiorcy)</w:t>
      </w:r>
    </w:p>
    <w:p w14:paraId="26B30C5E" w14:textId="77777777" w:rsidR="00867C58" w:rsidRDefault="00867C58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  <w:r w:rsidRPr="00867C58">
        <w:rPr>
          <w:color w:val="auto"/>
          <w:kern w:val="2"/>
          <w:sz w:val="22"/>
          <w:szCs w:val="22"/>
          <w14:ligatures w14:val="standardContextual"/>
        </w:rPr>
        <w:t>Oświadczam/oświadczamy że:</w:t>
      </w:r>
    </w:p>
    <w:p w14:paraId="0B2087B2" w14:textId="77777777" w:rsidR="00867C58" w:rsidRPr="00867C58" w:rsidRDefault="00867C58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</w:p>
    <w:p w14:paraId="76B59F4F" w14:textId="40DB64A5" w:rsidR="00867C58" w:rsidRPr="00867C58" w:rsidRDefault="00867C58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  <w:r w:rsidRPr="00867C58">
        <w:rPr>
          <w:color w:val="auto"/>
          <w:kern w:val="2"/>
          <w:sz w:val="22"/>
          <w:szCs w:val="22"/>
          <w14:ligatures w14:val="standardContextual"/>
        </w:rPr>
        <w:t>1. Nie znajduję się na Liście osób i podmiotów objętych sankcjami w związku z wojną</w:t>
      </w:r>
      <w:r>
        <w:rPr>
          <w:color w:val="auto"/>
          <w:kern w:val="2"/>
          <w:sz w:val="22"/>
          <w:szCs w:val="22"/>
          <w14:ligatures w14:val="standardContextual"/>
        </w:rPr>
        <w:t xml:space="preserve"> </w:t>
      </w:r>
      <w:r w:rsidRPr="00867C58">
        <w:rPr>
          <w:color w:val="auto"/>
          <w:kern w:val="2"/>
          <w:sz w:val="22"/>
          <w:szCs w:val="22"/>
          <w14:ligatures w14:val="standardContextual"/>
        </w:rPr>
        <w:t>w Ukrainie.</w:t>
      </w:r>
    </w:p>
    <w:p w14:paraId="648E285D" w14:textId="642FFC0A" w:rsidR="00867C58" w:rsidRPr="00867C58" w:rsidRDefault="00867C58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  <w:r w:rsidRPr="00867C58">
        <w:rPr>
          <w:color w:val="auto"/>
          <w:kern w:val="2"/>
          <w:sz w:val="22"/>
          <w:szCs w:val="22"/>
          <w14:ligatures w14:val="standardContextual"/>
        </w:rPr>
        <w:t>2. Nie jestem podmiotem mającym siedzibę lub utworzonym w kraju z Czarnej listy (Załącznik</w:t>
      </w:r>
      <w:r>
        <w:rPr>
          <w:color w:val="auto"/>
          <w:kern w:val="2"/>
          <w:sz w:val="22"/>
          <w:szCs w:val="22"/>
          <w14:ligatures w14:val="standardContextual"/>
        </w:rPr>
        <w:t xml:space="preserve"> </w:t>
      </w:r>
      <w:r w:rsidRPr="00867C58">
        <w:rPr>
          <w:color w:val="auto"/>
          <w:kern w:val="2"/>
          <w:sz w:val="22"/>
          <w:szCs w:val="22"/>
          <w14:ligatures w14:val="standardContextual"/>
        </w:rPr>
        <w:t>I do Komunikatu Komisji Europejskiej w sprawie nowych wymogów dotyczących unikania</w:t>
      </w:r>
      <w:r>
        <w:rPr>
          <w:color w:val="auto"/>
          <w:kern w:val="2"/>
          <w:sz w:val="22"/>
          <w:szCs w:val="22"/>
          <w14:ligatures w14:val="standardContextual"/>
        </w:rPr>
        <w:t xml:space="preserve"> </w:t>
      </w:r>
      <w:r w:rsidRPr="00867C58">
        <w:rPr>
          <w:color w:val="auto"/>
          <w:kern w:val="2"/>
          <w:sz w:val="22"/>
          <w:szCs w:val="22"/>
          <w14:ligatures w14:val="standardContextual"/>
        </w:rPr>
        <w:t>opodatkowania w prawodawstwie UE, regulującego w szczególności operacje</w:t>
      </w:r>
      <w:r>
        <w:rPr>
          <w:color w:val="auto"/>
          <w:kern w:val="2"/>
          <w:sz w:val="22"/>
          <w:szCs w:val="22"/>
          <w14:ligatures w14:val="standardContextual"/>
        </w:rPr>
        <w:t xml:space="preserve"> </w:t>
      </w:r>
      <w:r w:rsidRPr="00867C58">
        <w:rPr>
          <w:color w:val="auto"/>
          <w:kern w:val="2"/>
          <w:sz w:val="22"/>
          <w:szCs w:val="22"/>
          <w14:ligatures w14:val="standardContextual"/>
        </w:rPr>
        <w:t>finansowania i inwestycji C(2018) 1756, C(2018) 1756, wraz z wszelkimi jego</w:t>
      </w:r>
      <w:r>
        <w:rPr>
          <w:color w:val="auto"/>
          <w:kern w:val="2"/>
          <w:sz w:val="22"/>
          <w:szCs w:val="22"/>
          <w14:ligatures w14:val="standardContextual"/>
        </w:rPr>
        <w:t xml:space="preserve"> </w:t>
      </w:r>
      <w:r w:rsidRPr="00867C58">
        <w:rPr>
          <w:color w:val="auto"/>
          <w:kern w:val="2"/>
          <w:sz w:val="22"/>
          <w:szCs w:val="22"/>
          <w14:ligatures w14:val="standardContextual"/>
        </w:rPr>
        <w:t>aktualizacjami) *;</w:t>
      </w:r>
    </w:p>
    <w:p w14:paraId="2E98C4C1" w14:textId="2FD8EFDD" w:rsidR="00867C58" w:rsidRPr="00867C58" w:rsidRDefault="00867C58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  <w:r w:rsidRPr="00867C58">
        <w:rPr>
          <w:color w:val="auto"/>
          <w:kern w:val="2"/>
          <w:sz w:val="22"/>
          <w:szCs w:val="22"/>
          <w14:ligatures w14:val="standardContextual"/>
        </w:rPr>
        <w:t>3. Nie prowadzę działalności i nie utrzymuje relacji biznesowych z podmiotami mającymi</w:t>
      </w:r>
      <w:r>
        <w:rPr>
          <w:color w:val="auto"/>
          <w:kern w:val="2"/>
          <w:sz w:val="22"/>
          <w:szCs w:val="22"/>
          <w14:ligatures w14:val="standardContextual"/>
        </w:rPr>
        <w:t xml:space="preserve"> </w:t>
      </w:r>
      <w:r w:rsidRPr="00867C58">
        <w:rPr>
          <w:color w:val="auto"/>
          <w:kern w:val="2"/>
          <w:sz w:val="22"/>
          <w:szCs w:val="22"/>
          <w14:ligatures w14:val="standardContextual"/>
        </w:rPr>
        <w:t>siedzibę lub utworzonymi w krajach z Czarnej listy;</w:t>
      </w:r>
    </w:p>
    <w:p w14:paraId="43736327" w14:textId="594711B1" w:rsidR="00867C58" w:rsidRPr="00867C58" w:rsidRDefault="00867C58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  <w:r w:rsidRPr="00867C58">
        <w:rPr>
          <w:color w:val="auto"/>
          <w:kern w:val="2"/>
          <w:sz w:val="22"/>
          <w:szCs w:val="22"/>
          <w14:ligatures w14:val="standardContextual"/>
        </w:rPr>
        <w:t>4. Nie zachodzą w stosunku do mnie ani też do osób wchodzących w skład jego organów</w:t>
      </w:r>
      <w:r>
        <w:rPr>
          <w:color w:val="auto"/>
          <w:kern w:val="2"/>
          <w:sz w:val="22"/>
          <w:szCs w:val="22"/>
          <w14:ligatures w14:val="standardContextual"/>
        </w:rPr>
        <w:t xml:space="preserve"> </w:t>
      </w:r>
      <w:r w:rsidRPr="00867C58">
        <w:rPr>
          <w:color w:val="auto"/>
          <w:kern w:val="2"/>
          <w:sz w:val="22"/>
          <w:szCs w:val="22"/>
          <w14:ligatures w14:val="standardContextual"/>
        </w:rPr>
        <w:t>przesłanki do wykluczenia określone w art. 136 Rozporządzenia 2018/1046**;</w:t>
      </w:r>
    </w:p>
    <w:p w14:paraId="5658572B" w14:textId="77777777" w:rsidR="00867C58" w:rsidRDefault="00867C58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  <w:r w:rsidRPr="00867C58">
        <w:rPr>
          <w:color w:val="auto"/>
          <w:kern w:val="2"/>
          <w:sz w:val="22"/>
          <w:szCs w:val="22"/>
          <w14:ligatures w14:val="standardContextual"/>
        </w:rPr>
        <w:t>5. Spełnione zostały warunki umożliwiające zastosowanie wyjątku od zakazu nawiązywania</w:t>
      </w:r>
      <w:r>
        <w:rPr>
          <w:color w:val="auto"/>
          <w:kern w:val="2"/>
          <w:sz w:val="22"/>
          <w:szCs w:val="22"/>
          <w14:ligatures w14:val="standardContextual"/>
        </w:rPr>
        <w:t xml:space="preserve"> </w:t>
      </w:r>
      <w:r w:rsidRPr="00867C58">
        <w:rPr>
          <w:color w:val="auto"/>
          <w:kern w:val="2"/>
          <w:sz w:val="22"/>
          <w:szCs w:val="22"/>
          <w14:ligatures w14:val="standardContextual"/>
        </w:rPr>
        <w:t>stosunków z państwami znajdującymi się na liście państw niewspółpracujących (Czarna</w:t>
      </w:r>
      <w:r>
        <w:rPr>
          <w:color w:val="auto"/>
          <w:kern w:val="2"/>
          <w:sz w:val="22"/>
          <w:szCs w:val="22"/>
          <w14:ligatures w14:val="standardContextual"/>
        </w:rPr>
        <w:t xml:space="preserve"> </w:t>
      </w:r>
      <w:r w:rsidRPr="00867C58">
        <w:rPr>
          <w:color w:val="auto"/>
          <w:kern w:val="2"/>
          <w:sz w:val="22"/>
          <w:szCs w:val="22"/>
          <w14:ligatures w14:val="standardContextual"/>
        </w:rPr>
        <w:t>lista) – wpisać spełnione warunki</w:t>
      </w:r>
    </w:p>
    <w:p w14:paraId="78F458CF" w14:textId="20401AFE" w:rsidR="00867C58" w:rsidRPr="00867C58" w:rsidRDefault="00867C58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  <w:r w:rsidRPr="00867C58">
        <w:rPr>
          <w:i/>
          <w:iCs/>
          <w:color w:val="auto"/>
          <w:kern w:val="2"/>
          <w:sz w:val="22"/>
          <w:szCs w:val="22"/>
          <w14:ligatures w14:val="standardContextual"/>
        </w:rPr>
        <w:t>jeśli dotyczy</w:t>
      </w:r>
      <w:r w:rsidRPr="00867C58">
        <w:rPr>
          <w:color w:val="auto"/>
          <w:kern w:val="2"/>
          <w:sz w:val="22"/>
          <w:szCs w:val="22"/>
          <w14:ligatures w14:val="standardContextual"/>
        </w:rPr>
        <w:t>.</w:t>
      </w:r>
    </w:p>
    <w:p w14:paraId="50FFF29C" w14:textId="77777777" w:rsidR="00867C58" w:rsidRPr="00867C58" w:rsidRDefault="00867C58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  <w:r w:rsidRPr="00867C58">
        <w:rPr>
          <w:color w:val="auto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……………………………………………………………………………………………………………………………….</w:t>
      </w:r>
    </w:p>
    <w:p w14:paraId="060B3CCB" w14:textId="77777777" w:rsidR="00867C58" w:rsidRPr="00867C58" w:rsidRDefault="00867C58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  <w:r w:rsidRPr="00867C58">
        <w:rPr>
          <w:color w:val="auto"/>
          <w:kern w:val="2"/>
          <w:sz w:val="22"/>
          <w:szCs w:val="22"/>
          <w14:ligatures w14:val="standardContextual"/>
        </w:rPr>
        <w:t>……………………………………………………………………………………………………………………………….</w:t>
      </w:r>
    </w:p>
    <w:p w14:paraId="08914613" w14:textId="71B09B43" w:rsidR="00867C58" w:rsidRPr="00867C58" w:rsidRDefault="00867C58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  <w:r w:rsidRPr="00867C58">
        <w:rPr>
          <w:color w:val="auto"/>
          <w:kern w:val="2"/>
          <w:sz w:val="22"/>
          <w:szCs w:val="22"/>
          <w14:ligatures w14:val="standardContextual"/>
        </w:rPr>
        <w:t xml:space="preserve">6. Ponadto zobowiązuje się do niezwłocznego informowania </w:t>
      </w:r>
      <w:r w:rsidR="00DA5ADB">
        <w:rPr>
          <w:color w:val="auto"/>
          <w:kern w:val="2"/>
          <w:sz w:val="22"/>
          <w:szCs w:val="22"/>
          <w14:ligatures w14:val="standardContextual"/>
        </w:rPr>
        <w:t>Stowarzyszenie Ostrowskie Centrum Wspierania Przedsiębiorczości</w:t>
      </w:r>
      <w:r w:rsidRPr="00867C58">
        <w:rPr>
          <w:color w:val="auto"/>
          <w:kern w:val="2"/>
          <w:sz w:val="22"/>
          <w:szCs w:val="22"/>
          <w14:ligatures w14:val="standardContextual"/>
        </w:rPr>
        <w:t xml:space="preserve"> o wszelkich zmianach informacji i danych przekazanych przy</w:t>
      </w:r>
      <w:r>
        <w:rPr>
          <w:color w:val="auto"/>
          <w:kern w:val="2"/>
          <w:sz w:val="22"/>
          <w:szCs w:val="22"/>
          <w14:ligatures w14:val="standardContextual"/>
        </w:rPr>
        <w:t xml:space="preserve"> </w:t>
      </w:r>
      <w:r w:rsidRPr="00867C58">
        <w:rPr>
          <w:color w:val="auto"/>
          <w:kern w:val="2"/>
          <w:sz w:val="22"/>
          <w:szCs w:val="22"/>
          <w14:ligatures w14:val="standardContextual"/>
        </w:rPr>
        <w:t>podejmowaniu decyzji o udzieleniu pożyczki, zawieraniu Umowy Pożyczki oraz w całym</w:t>
      </w:r>
      <w:r>
        <w:rPr>
          <w:color w:val="auto"/>
          <w:kern w:val="2"/>
          <w:sz w:val="22"/>
          <w:szCs w:val="22"/>
          <w14:ligatures w14:val="standardContextual"/>
        </w:rPr>
        <w:t xml:space="preserve"> </w:t>
      </w:r>
      <w:r w:rsidRPr="00867C58">
        <w:rPr>
          <w:color w:val="auto"/>
          <w:kern w:val="2"/>
          <w:sz w:val="22"/>
          <w:szCs w:val="22"/>
          <w14:ligatures w14:val="standardContextual"/>
        </w:rPr>
        <w:t>okresie trwania tej umowy w powyższym zakresie.</w:t>
      </w:r>
      <w:bookmarkStart w:id="0" w:name="_GoBack"/>
      <w:bookmarkEnd w:id="0"/>
    </w:p>
    <w:p w14:paraId="0DC33C36" w14:textId="77777777" w:rsidR="00867C58" w:rsidRDefault="00867C58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</w:p>
    <w:p w14:paraId="4F4ABBAA" w14:textId="77777777" w:rsidR="00935FC1" w:rsidRDefault="00935FC1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</w:p>
    <w:p w14:paraId="1B31D85A" w14:textId="77777777" w:rsidR="00935FC1" w:rsidRDefault="00935FC1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</w:p>
    <w:p w14:paraId="26AD4D83" w14:textId="77777777" w:rsidR="00935FC1" w:rsidRDefault="00935FC1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</w:p>
    <w:p w14:paraId="077BBB26" w14:textId="77777777" w:rsidR="00935FC1" w:rsidRDefault="00935FC1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</w:p>
    <w:p w14:paraId="6CADE0A8" w14:textId="77777777" w:rsidR="00935FC1" w:rsidRDefault="00935FC1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</w:p>
    <w:p w14:paraId="483A0DDC" w14:textId="25C25A0F" w:rsidR="00867C58" w:rsidRPr="00867C58" w:rsidRDefault="00867C58" w:rsidP="00867C58">
      <w:pPr>
        <w:spacing w:line="276" w:lineRule="auto"/>
        <w:rPr>
          <w:color w:val="auto"/>
          <w:kern w:val="2"/>
          <w:sz w:val="22"/>
          <w:szCs w:val="22"/>
          <w14:ligatures w14:val="standardContextual"/>
        </w:rPr>
      </w:pPr>
      <w:r w:rsidRPr="00867C58">
        <w:rPr>
          <w:color w:val="auto"/>
          <w:kern w:val="2"/>
          <w:sz w:val="22"/>
          <w:szCs w:val="22"/>
          <w14:ligatures w14:val="standardContextual"/>
        </w:rPr>
        <w:t xml:space="preserve">…………………………………….. </w:t>
      </w:r>
      <w:r>
        <w:rPr>
          <w:color w:val="auto"/>
          <w:kern w:val="2"/>
          <w:sz w:val="22"/>
          <w:szCs w:val="22"/>
          <w14:ligatures w14:val="standardContextual"/>
        </w:rPr>
        <w:tab/>
      </w:r>
      <w:r>
        <w:rPr>
          <w:color w:val="auto"/>
          <w:kern w:val="2"/>
          <w:sz w:val="22"/>
          <w:szCs w:val="22"/>
          <w14:ligatures w14:val="standardContextual"/>
        </w:rPr>
        <w:tab/>
      </w:r>
      <w:r>
        <w:rPr>
          <w:color w:val="auto"/>
          <w:kern w:val="2"/>
          <w:sz w:val="22"/>
          <w:szCs w:val="22"/>
          <w14:ligatures w14:val="standardContextual"/>
        </w:rPr>
        <w:tab/>
      </w:r>
      <w:r>
        <w:rPr>
          <w:color w:val="auto"/>
          <w:kern w:val="2"/>
          <w:sz w:val="22"/>
          <w:szCs w:val="22"/>
          <w14:ligatures w14:val="standardContextual"/>
        </w:rPr>
        <w:tab/>
      </w:r>
      <w:r w:rsidRPr="00867C58">
        <w:rPr>
          <w:color w:val="auto"/>
          <w:kern w:val="2"/>
          <w:sz w:val="22"/>
          <w:szCs w:val="22"/>
          <w14:ligatures w14:val="standardContextual"/>
        </w:rPr>
        <w:t>…………………………………………………………………………..…</w:t>
      </w:r>
    </w:p>
    <w:p w14:paraId="76328B48" w14:textId="0F88E340" w:rsidR="00867C58" w:rsidRPr="00867C58" w:rsidRDefault="00867C58" w:rsidP="00867C58">
      <w:pPr>
        <w:spacing w:line="276" w:lineRule="auto"/>
        <w:rPr>
          <w:color w:val="auto"/>
          <w:kern w:val="2"/>
          <w:sz w:val="20"/>
          <w:szCs w:val="20"/>
          <w14:ligatures w14:val="standardContextual"/>
        </w:rPr>
      </w:pPr>
      <w:r>
        <w:rPr>
          <w:color w:val="auto"/>
          <w:kern w:val="2"/>
          <w:sz w:val="20"/>
          <w:szCs w:val="20"/>
          <w14:ligatures w14:val="standardContextual"/>
        </w:rPr>
        <w:t xml:space="preserve">      </w:t>
      </w:r>
      <w:r w:rsidRPr="00867C58">
        <w:rPr>
          <w:color w:val="auto"/>
          <w:kern w:val="2"/>
          <w:sz w:val="20"/>
          <w:szCs w:val="20"/>
          <w14:ligatures w14:val="standardContextual"/>
        </w:rPr>
        <w:t xml:space="preserve">data i miejscowość </w:t>
      </w:r>
      <w:r w:rsidRPr="00867C58">
        <w:rPr>
          <w:color w:val="auto"/>
          <w:kern w:val="2"/>
          <w:sz w:val="20"/>
          <w:szCs w:val="20"/>
          <w14:ligatures w14:val="standardContextual"/>
        </w:rPr>
        <w:tab/>
      </w:r>
      <w:r>
        <w:rPr>
          <w:color w:val="auto"/>
          <w:kern w:val="2"/>
          <w:sz w:val="22"/>
          <w:szCs w:val="22"/>
          <w14:ligatures w14:val="standardContextual"/>
        </w:rPr>
        <w:tab/>
      </w:r>
      <w:r>
        <w:rPr>
          <w:color w:val="auto"/>
          <w:kern w:val="2"/>
          <w:sz w:val="22"/>
          <w:szCs w:val="22"/>
          <w14:ligatures w14:val="standardContextual"/>
        </w:rPr>
        <w:tab/>
      </w:r>
      <w:r>
        <w:rPr>
          <w:color w:val="auto"/>
          <w:kern w:val="2"/>
          <w:sz w:val="22"/>
          <w:szCs w:val="22"/>
          <w14:ligatures w14:val="standardContextual"/>
        </w:rPr>
        <w:tab/>
      </w:r>
      <w:r>
        <w:rPr>
          <w:color w:val="auto"/>
          <w:kern w:val="2"/>
          <w:sz w:val="22"/>
          <w:szCs w:val="22"/>
          <w14:ligatures w14:val="standardContextual"/>
        </w:rPr>
        <w:tab/>
        <w:t xml:space="preserve">    </w:t>
      </w:r>
      <w:r w:rsidRPr="00867C58">
        <w:rPr>
          <w:color w:val="auto"/>
          <w:kern w:val="2"/>
          <w:sz w:val="20"/>
          <w:szCs w:val="20"/>
          <w14:ligatures w14:val="standardContextual"/>
        </w:rPr>
        <w:t>Pieczątka i podpis osoby/osób upoważnionych do</w:t>
      </w:r>
    </w:p>
    <w:p w14:paraId="0C164B9C" w14:textId="77777777" w:rsidR="00867C58" w:rsidRPr="00867C58" w:rsidRDefault="00867C58" w:rsidP="00867C58">
      <w:pPr>
        <w:spacing w:line="276" w:lineRule="auto"/>
        <w:ind w:left="4963" w:firstLine="709"/>
        <w:rPr>
          <w:color w:val="auto"/>
          <w:kern w:val="2"/>
          <w:sz w:val="20"/>
          <w:szCs w:val="20"/>
          <w14:ligatures w14:val="standardContextual"/>
        </w:rPr>
      </w:pPr>
      <w:r w:rsidRPr="00867C58">
        <w:rPr>
          <w:color w:val="auto"/>
          <w:kern w:val="2"/>
          <w:sz w:val="20"/>
          <w:szCs w:val="20"/>
          <w14:ligatures w14:val="standardContextual"/>
        </w:rPr>
        <w:t>reprezentowania Pożyczkobiorcy</w:t>
      </w:r>
    </w:p>
    <w:p w14:paraId="553668F6" w14:textId="77777777" w:rsid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</w:p>
    <w:p w14:paraId="08F318BD" w14:textId="77777777" w:rsid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</w:p>
    <w:p w14:paraId="77A11450" w14:textId="77777777" w:rsid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</w:p>
    <w:p w14:paraId="6F880D57" w14:textId="77777777" w:rsid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</w:p>
    <w:p w14:paraId="0825C828" w14:textId="77777777" w:rsid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</w:p>
    <w:p w14:paraId="38CF7953" w14:textId="77777777" w:rsid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</w:p>
    <w:p w14:paraId="3F00EFA6" w14:textId="77777777" w:rsid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</w:p>
    <w:p w14:paraId="0A60B851" w14:textId="77777777" w:rsid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</w:p>
    <w:p w14:paraId="77B091DF" w14:textId="77777777" w:rsid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</w:p>
    <w:p w14:paraId="639F5AFF" w14:textId="77777777" w:rsid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</w:p>
    <w:p w14:paraId="13F85A60" w14:textId="376A42AC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lastRenderedPageBreak/>
        <w:t>* Unijny wykaz jurysdykcji niechętnych współpracy do celów podatkowych został przyjęty przez Radę Unii Europejskiej w dniu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20 lutego 2024 r. i jest dostępny pod linkiem: https://eur-lex.europa.eu/legal-content/PL/TXT/?uri=OJ:C_202401804.</w:t>
      </w:r>
    </w:p>
    <w:p w14:paraId="20E32225" w14:textId="3EC41B59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 xml:space="preserve">** ROZPORZĄDZENIE PARLAMENTU EUROPEJSKIEGO I RADY (UE, </w:t>
      </w:r>
      <w:proofErr w:type="spellStart"/>
      <w:r w:rsidRPr="00867C58">
        <w:rPr>
          <w:color w:val="auto"/>
          <w:kern w:val="2"/>
          <w:sz w:val="16"/>
          <w:szCs w:val="16"/>
          <w14:ligatures w14:val="standardContextual"/>
        </w:rPr>
        <w:t>Euratom</w:t>
      </w:r>
      <w:proofErr w:type="spellEnd"/>
      <w:r w:rsidRPr="00867C58">
        <w:rPr>
          <w:color w:val="auto"/>
          <w:kern w:val="2"/>
          <w:sz w:val="16"/>
          <w:szCs w:val="16"/>
          <w14:ligatures w14:val="standardContextual"/>
        </w:rPr>
        <w:t>) 2018/1046 z dnia 18 lipca 2018 r. w sprawie zasad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finansowych mających zastosowanie do budżetu ogólnego Unii, zmieniające rozporządzenia (UE) nr 1296/2013, (UE) nr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1301/2013, (UE) nr 1303/2013, (UE) nr 1304/2013, (UE) nr 1309/2013, (UE) nr 1316/2013, (UE) nr 223/2014 i (UE) nr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 xml:space="preserve">283/2014 oraz decyzję nr 541/2014/UE, a także uchylające rozporządzenie (UE, </w:t>
      </w:r>
      <w:proofErr w:type="spellStart"/>
      <w:r w:rsidRPr="00867C58">
        <w:rPr>
          <w:color w:val="auto"/>
          <w:kern w:val="2"/>
          <w:sz w:val="16"/>
          <w:szCs w:val="16"/>
          <w14:ligatures w14:val="standardContextual"/>
        </w:rPr>
        <w:t>Euratom</w:t>
      </w:r>
      <w:proofErr w:type="spellEnd"/>
      <w:r w:rsidRPr="00867C58">
        <w:rPr>
          <w:color w:val="auto"/>
          <w:kern w:val="2"/>
          <w:sz w:val="16"/>
          <w:szCs w:val="16"/>
          <w14:ligatures w14:val="standardContextual"/>
        </w:rPr>
        <w:t>) nr 966/2012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Art. 136 Właściwy urzędnik zatwierdzający wyklucza osobę lub podmiot, o których mowa w art. 135 ust. 2, z uczestnictwa w</w:t>
      </w:r>
    </w:p>
    <w:p w14:paraId="44A1A2A8" w14:textId="7777777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procedurach wyboru regulowanych niniejszym rozporządzeniem lub z selekcji w celu wykonania środków finansowych Unii,</w:t>
      </w:r>
    </w:p>
    <w:p w14:paraId="07E9F03C" w14:textId="7777777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w przypadku gdy ta osoba lub podmiot znajduje się w co najmniej jednej z poniższych sytuacji:</w:t>
      </w:r>
    </w:p>
    <w:p w14:paraId="71EB1466" w14:textId="50EF9E9E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a) osoba lub podmiot znajdują się w stanie upadłości, prowadzone jest wobec nich postępowanie upadłościowe lub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likwidacyjne, ich aktywami zarządza likwidator lub sąd, zawarcia układu z wierzycielami, gdy ich działalność gospodarcza jest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zawieszona lub gdy znajdują się one w jakiejkolwiek analogicznej sytuacji wynikającej z podobnej procedury przewidzianej w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prawie Unii lub prawie krajowym;</w:t>
      </w:r>
    </w:p>
    <w:p w14:paraId="6E94C9CE" w14:textId="239A077D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b) stwierdzono - w drodze prawomocnego wyroku lub ostatecznej decyzji administracyjnej - że osoba lub podmiot naruszyły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swoje obowiązki dotyczące uiszczania podatków lub składek na ubezpieczenie społeczne wynikające z mającego zastosowanie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prawa;</w:t>
      </w:r>
    </w:p>
    <w:p w14:paraId="124414B6" w14:textId="0FEEBEF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c) stwierdzono - w drodze prawomocnego wyroku lub ostatecznej decyzji administracyjnej - że osoba lub podmiot dopuściły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się poważnego wykroczenia zawodowego poprzez naruszenie mających zastosowanie przepisów ustawowych lub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wykonawczych lub norm etycznych grupy zawodowej, do której ta osoba lub ten podmiot należą, lub poprzez jakiekolwiek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bezprawne zachowanie, które ma wpływ na ich zawodową wiarygodność, w przypadku gdy tego rodzaju zachowanie wskazuje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 xml:space="preserve">na bezprawny zamiar lub rażące niedbalstwo, w tym również w szczególności poprzez którekolwiek z poniższych </w:t>
      </w:r>
      <w:proofErr w:type="spellStart"/>
      <w:r w:rsidRPr="00867C58">
        <w:rPr>
          <w:color w:val="auto"/>
          <w:kern w:val="2"/>
          <w:sz w:val="16"/>
          <w:szCs w:val="16"/>
          <w14:ligatures w14:val="standardContextual"/>
        </w:rPr>
        <w:t>zachowań</w:t>
      </w:r>
      <w:proofErr w:type="spellEnd"/>
      <w:r w:rsidRPr="00867C58">
        <w:rPr>
          <w:color w:val="auto"/>
          <w:kern w:val="2"/>
          <w:sz w:val="16"/>
          <w:szCs w:val="16"/>
          <w14:ligatures w14:val="standardContextual"/>
        </w:rPr>
        <w:t>:</w:t>
      </w:r>
    </w:p>
    <w:p w14:paraId="04464C45" w14:textId="5D3E72D5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(i) przedstawienie informacji wymaganych do sprawdzenia braku podstaw wykluczenia lub do sprawdzenia spełnienia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kryteriów kwalifikowalności lub kryteriów kwalifikacji lub w ramach wykonania zobowiązania prawnego, które to informacje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w wyniku nieuczciwości lub zaniedbania wprowadzały w błąd;</w:t>
      </w:r>
    </w:p>
    <w:p w14:paraId="17E8A50C" w14:textId="7777777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(ii) zawarcie porozumienia z innymi osobami lub podmiotami w celu zakłócenia konkurencji;</w:t>
      </w:r>
    </w:p>
    <w:p w14:paraId="531076C1" w14:textId="7777777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(iii) naruszenie praw własności intelektualnej;</w:t>
      </w:r>
    </w:p>
    <w:p w14:paraId="166FD043" w14:textId="0029AD9A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(iv) próby wpłynięcia na proces podejmowania decyzji przez właściwego urzędnika zatwierdzającego w trakcie procedury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wyboru;</w:t>
      </w:r>
    </w:p>
    <w:p w14:paraId="2F88FD90" w14:textId="405452AF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(v) próby pozyskania poufnych informacji, które mogą dać danej osobie lub danemu podmiotowi nienależną przewagę w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procedurze wyboru;</w:t>
      </w:r>
    </w:p>
    <w:p w14:paraId="46B13959" w14:textId="33441B2F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d) stwierdzono - w drodze prawomocnego wyroku - że osoba lub podmiot dopuściły się któregokolwiek z następujących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czynów:</w:t>
      </w:r>
    </w:p>
    <w:p w14:paraId="30AA96BA" w14:textId="1D9EC640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(i) nadużycia finansowego w rozumieniu art. 3 dyrektywy Parlamentu Europejskiego i Rady (UE) 2017/1371 45 oraz art.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1 Konwencji w sprawie ochrony interesów finansowych Wspólnot Europejskich ustanowionej aktem Rady z dnia 26 lipca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1995 r. ;</w:t>
      </w:r>
    </w:p>
    <w:p w14:paraId="17F90A09" w14:textId="37EE8F36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(ii) korupcji, zgodnie z definicją zawartą w art. 4 ust. 2 dyrektywy (UE) 2017/1371 oraz korupcji czynnej w rozumieniu art. 3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Konwencji w sprawie zwalczania korupcji, w którą zaangażowani są urzędnicy Wspólnot Europejskich lub urzędnicy państw</w:t>
      </w:r>
      <w:r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 xml:space="preserve">członkowskich Unii Europejskiej, ustanowionej aktem Rady z dnia 26 maja 1997 r. lub </w:t>
      </w:r>
      <w:proofErr w:type="spellStart"/>
      <w:r w:rsidRPr="00867C58">
        <w:rPr>
          <w:color w:val="auto"/>
          <w:kern w:val="2"/>
          <w:sz w:val="16"/>
          <w:szCs w:val="16"/>
          <w14:ligatures w14:val="standardContextual"/>
        </w:rPr>
        <w:t>zachowań</w:t>
      </w:r>
      <w:proofErr w:type="spellEnd"/>
      <w:r w:rsidRPr="00867C58">
        <w:rPr>
          <w:color w:val="auto"/>
          <w:kern w:val="2"/>
          <w:sz w:val="16"/>
          <w:szCs w:val="16"/>
          <w14:ligatures w14:val="standardContextual"/>
        </w:rPr>
        <w:t>, o których mowa w art. 2 ust.1 decyzji ramowej Rady 2003/568/</w:t>
      </w:r>
      <w:proofErr w:type="spellStart"/>
      <w:r w:rsidRPr="00867C58">
        <w:rPr>
          <w:color w:val="auto"/>
          <w:kern w:val="2"/>
          <w:sz w:val="16"/>
          <w:szCs w:val="16"/>
          <w14:ligatures w14:val="standardContextual"/>
        </w:rPr>
        <w:t>WSiSW</w:t>
      </w:r>
      <w:proofErr w:type="spellEnd"/>
      <w:r w:rsidRPr="00867C58">
        <w:rPr>
          <w:color w:val="auto"/>
          <w:kern w:val="2"/>
          <w:sz w:val="16"/>
          <w:szCs w:val="16"/>
          <w14:ligatures w14:val="standardContextual"/>
        </w:rPr>
        <w:t xml:space="preserve"> 48 , lub korupcji zdefiniowanej w innych mających zastosowanie przepisach;</w:t>
      </w:r>
    </w:p>
    <w:p w14:paraId="4802C1C7" w14:textId="45EB001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 xml:space="preserve">(iii) </w:t>
      </w:r>
      <w:proofErr w:type="spellStart"/>
      <w:r w:rsidRPr="00867C58">
        <w:rPr>
          <w:color w:val="auto"/>
          <w:kern w:val="2"/>
          <w:sz w:val="16"/>
          <w:szCs w:val="16"/>
          <w14:ligatures w14:val="standardContextual"/>
        </w:rPr>
        <w:t>zachowań</w:t>
      </w:r>
      <w:proofErr w:type="spellEnd"/>
      <w:r w:rsidRPr="00867C58">
        <w:rPr>
          <w:color w:val="auto"/>
          <w:kern w:val="2"/>
          <w:sz w:val="16"/>
          <w:szCs w:val="16"/>
          <w14:ligatures w14:val="standardContextual"/>
        </w:rPr>
        <w:t xml:space="preserve"> związanych z organizacją przestępczą, o których mowa w art. 2 decyzji ramowej Rady 2008/841/</w:t>
      </w:r>
      <w:proofErr w:type="spellStart"/>
      <w:r w:rsidRPr="00867C58">
        <w:rPr>
          <w:color w:val="auto"/>
          <w:kern w:val="2"/>
          <w:sz w:val="16"/>
          <w:szCs w:val="16"/>
          <w14:ligatures w14:val="standardContextual"/>
        </w:rPr>
        <w:t>WSiSW</w:t>
      </w:r>
      <w:proofErr w:type="spellEnd"/>
      <w:r w:rsidRPr="00867C58">
        <w:rPr>
          <w:color w:val="auto"/>
          <w:kern w:val="2"/>
          <w:sz w:val="16"/>
          <w:szCs w:val="16"/>
          <w14:ligatures w14:val="standardContextual"/>
        </w:rPr>
        <w:t xml:space="preserve"> 49;</w:t>
      </w:r>
    </w:p>
    <w:p w14:paraId="6050D411" w14:textId="4057C580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(iv) prania pieniędzy lub finansowania terroryzmu w rozumieniu art. 1 ust. 3, 4 i 5 dyrektywy Parlamentu Europejskiego i Rady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(UE) 2015/849 50 ;</w:t>
      </w:r>
    </w:p>
    <w:p w14:paraId="1A746211" w14:textId="7EE91CB4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(v) przestępstw terrorystycznych lub przestępstw związanych z działalnością terrorystyczną, zgodnie z definicją zawartą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odpowiednio w art. 1 i 3 decyzji ramowej Rady 2002/475/</w:t>
      </w:r>
      <w:proofErr w:type="spellStart"/>
      <w:r w:rsidRPr="00867C58">
        <w:rPr>
          <w:color w:val="auto"/>
          <w:kern w:val="2"/>
          <w:sz w:val="16"/>
          <w:szCs w:val="16"/>
          <w14:ligatures w14:val="standardContextual"/>
        </w:rPr>
        <w:t>WSiSW</w:t>
      </w:r>
      <w:proofErr w:type="spellEnd"/>
      <w:r w:rsidRPr="00867C58">
        <w:rPr>
          <w:color w:val="auto"/>
          <w:kern w:val="2"/>
          <w:sz w:val="16"/>
          <w:szCs w:val="16"/>
          <w14:ligatures w14:val="standardContextual"/>
        </w:rPr>
        <w:t xml:space="preserve"> 51, lub podżegania do popełnienia przestępstwa,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pomocnictwa lub usiłowania popełnienia takich przestępstw, o których to czynach mowa w art. 4 tej decyzji;</w:t>
      </w:r>
    </w:p>
    <w:p w14:paraId="0623068C" w14:textId="0B2100A8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(vi) pracy dzieci lub innych przestępstw związanych z handlem ludźmi, o których mowa w art. 2 dyrektywy Parlamentu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Europejskiego i Rady 2011/36/UE 52 ;</w:t>
      </w:r>
    </w:p>
    <w:p w14:paraId="1BBEB070" w14:textId="338CB00F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e) osoba lub podmiot dopuściły się znaczących uchybień, jeżeli chodzi o przestrzeganie podstawowych obowiązków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związanych z wykonaniem zobowiązania prawnego finansowanego z budżetu, co:</w:t>
      </w:r>
    </w:p>
    <w:p w14:paraId="7D836784" w14:textId="7777777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(i) doprowadziło do przedterminowego zakończenia obowiązywania zobowiązania prawnego;</w:t>
      </w:r>
    </w:p>
    <w:p w14:paraId="352720F3" w14:textId="7777777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(ii) doprowadziło do zastosowania ryczałtowego odszkodowania lub innych kar umownych; lub</w:t>
      </w:r>
    </w:p>
    <w:p w14:paraId="4861BBD9" w14:textId="54E10B5B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(iii) zostało odkryte przez urzędnika zatwierdzającego, OLAF lub Trybunał Obrachunkowy w następstwie kontroli, audytów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lub dochodzeń;</w:t>
      </w:r>
    </w:p>
    <w:p w14:paraId="393DBBB0" w14:textId="61F58D7E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f) stwierdzono - w drodze prawomocnego wyroku lub ostatecznej decyzji administracyjnej - że osoba lub podmiot dopuściły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 xml:space="preserve">się nieprawidłowości w rozumieniu art. 1 ust. 2 rozporządzenia Rady (WE, </w:t>
      </w:r>
      <w:proofErr w:type="spellStart"/>
      <w:r w:rsidRPr="00867C58">
        <w:rPr>
          <w:color w:val="auto"/>
          <w:kern w:val="2"/>
          <w:sz w:val="16"/>
          <w:szCs w:val="16"/>
          <w14:ligatures w14:val="standardContextual"/>
        </w:rPr>
        <w:t>Euratom</w:t>
      </w:r>
      <w:proofErr w:type="spellEnd"/>
      <w:r w:rsidRPr="00867C58">
        <w:rPr>
          <w:color w:val="auto"/>
          <w:kern w:val="2"/>
          <w:sz w:val="16"/>
          <w:szCs w:val="16"/>
          <w14:ligatures w14:val="standardContextual"/>
        </w:rPr>
        <w:t>) nr 2988/95 53 ;</w:t>
      </w:r>
    </w:p>
    <w:p w14:paraId="0B0F9360" w14:textId="0600422C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g) stwierdzono - w drodze prawomocnego wyroku lub ostatecznej decyzji administracyjnej - że osoba lub podmiot utworzyły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podmiot w innej jurysdykcji z zamiarem obejścia obowiązków podatkowych, socjalnych lub jakichkolwiek innych obowiązków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prawnych w jurysdykcji ich siedziby statutowej, zarządu lub głównego przedsiębiorstwa;</w:t>
      </w:r>
    </w:p>
    <w:p w14:paraId="2148C1D4" w14:textId="748C6D62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h) stwierdzono - w drodze prawomocnego wyroku lub ostatecznej decyzji administracyjnej - że utworzono podmiot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z zamiarem, o którym mowa w lit. g).</w:t>
      </w:r>
    </w:p>
    <w:p w14:paraId="4D4DF50F" w14:textId="42BDD150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2. Jeżeli brak jest prawomocnego wyroku lub, stosownie do sytuacji, ostatecznej decyzji administracyjnej w przypadkach,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o których mowa w ust. 1 lit. c), d), f), g) i h) niniejszego artykułu, lub w przypadku, o którym mowa w ust. 1 lit. e) niniejszego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artykułu, właściwy urzędnik zatwierdzający wyklucza osobę lub podmiot, o których mowa w art. 135 ust. 2, na podstawie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wstępnej kwalifikacji prawnej zachowania, o którym mowa w tych literach, z uwzględnieniem stwierdzonych faktów lub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innych ustaleń zawartych w zaleceniu zespołu, o którym mowa w art. 143.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Wstępna kwalifikacja, o której mowa w akapicie pierwszym niniejszego ustępu, nie ma wpływu na ocenę zachowania osoby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lub podmiotu, o których mowa w art. 135 ust. 2, przez właściwe organy państw członkowskich na podstawie prawa krajowego.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Właściwy urzędnik zatwierdzający dokonuje przeglądu swojej decyzji o wykluczeniu osoby lub podmiotu, o których mowa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w art. 135 ust. 2, lub nałożeniu na odbiorcę kary finansowej niezwłocznie po otrzymaniu powiadomienia o prawomocnym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wyroku lub ostatecznej decyzji administracyjnej. W przypadkach gdy prawomocny wyrok lub ostateczna decyzja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administracyjna nie określają czasu trwania wykluczenia, właściwy urzędnik zatwierdzający określa ten czas trwania na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 xml:space="preserve">podstawie stwierdzonych </w:t>
      </w:r>
      <w:r w:rsidRPr="00867C58">
        <w:rPr>
          <w:color w:val="auto"/>
          <w:kern w:val="2"/>
          <w:sz w:val="16"/>
          <w:szCs w:val="16"/>
          <w14:ligatures w14:val="standardContextual"/>
        </w:rPr>
        <w:lastRenderedPageBreak/>
        <w:t>faktów i ustaleń oraz z uwzględnieniem zalecenia zespołu, o którym mowa w art. 143.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W przypadku gdy taki prawomocny wyrok lub ostateczna decyzja administracyjna przewidują, że osoba lub podmiot,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o których mowa w art. 135 ust. 2, nie dopuściły się zachowania będącego przedmiotem wstępnej kwalifikacji prawnej, na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podstawie której ta osoba lub podmiot została wykluczona, właściwy urzędnik zatwierdzający niezwłocznie doprowadza do</w:t>
      </w:r>
    </w:p>
    <w:p w14:paraId="3A34E57A" w14:textId="1AA8B99A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zakończenia tego wykluczenia lub zwraca, stosownie do sytuacji, każdą nałożoną karę finansową.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Fakty i ustalenia, o których mowa w akapicie pierwszym, obejmują w szczególności:</w:t>
      </w:r>
    </w:p>
    <w:p w14:paraId="40FE3D43" w14:textId="60833CA8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a) fakty stwierdzone w ramach audytów lub dochodzeń przeprowadzonych przez EPPO w odniesieniu do państw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członkowskich uczestniczących we wzmocnionej współpracy zgodnie z rozporządzeniem (UE) 2017/1939, Trybunał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Obrachunkowy, OLAF lub audytora wewnętrznego lub też w ramach wszelkich innych weryfikacji, audytów lub kontroli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prowadzonych w zakresie odpowiedzialności urzędnika zatwierdzającego;</w:t>
      </w:r>
    </w:p>
    <w:p w14:paraId="16B545F2" w14:textId="0F0CBA96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b) decyzje administracyjne inne niż ostateczne, które mogą obejmować środki dyscyplinarne podjęte przez właściwy organ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nadzorczy odpowiedzialny za sprawdzanie stosowania norm etyki zawodowej;</w:t>
      </w:r>
    </w:p>
    <w:p w14:paraId="64AE2C2B" w14:textId="2E05671A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c) fakty, o których mowa w decyzjach osób i podmiotów wykonujących środki finansowe Unii zgodnie z art. 62 ust. 1 akapit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pierwszy lit. c);</w:t>
      </w:r>
    </w:p>
    <w:p w14:paraId="4A3C54F7" w14:textId="60F8F06B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d) informacje przekazane zgodnie z art. 142 ust. 2 lit. d) przez podmioty wykonujące środki finansowe Unii zgodnie z art. 62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ust. 1 akapit pierwszy lit. b);</w:t>
      </w:r>
    </w:p>
    <w:p w14:paraId="60760678" w14:textId="3F03F1AE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e) decyzje Komisji dotyczące naruszenia prawa konkurencji Unii lub decyzje właściwego organu krajowego dotyczące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naruszenia prawa konkurencji Unii lub krajowego prawa konkurencji.</w:t>
      </w:r>
    </w:p>
    <w:p w14:paraId="2065A3F4" w14:textId="1B3428C5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3. Każdą decyzję właściwego urzędnika zatwierdzającego na mocy art. 135-142 lub, w stosownych przypadkach, każde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zalecenie zespołu, o którym mowa w art. 143, podejmuje się zgodnie z zasadą proporcjonalności, uwzględniając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w szczególności:</w:t>
      </w:r>
    </w:p>
    <w:p w14:paraId="764F81A2" w14:textId="7777777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a) wagę sytuacji, w tym również wpływ na interesy finansowe Unii oraz wizerunek Unii;</w:t>
      </w:r>
    </w:p>
    <w:p w14:paraId="632D1451" w14:textId="7777777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b) czas, który upłynął, od danego zachowania;</w:t>
      </w:r>
    </w:p>
    <w:p w14:paraId="537159FE" w14:textId="7777777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c) czas trwania i powtarzanie się zachowania;</w:t>
      </w:r>
    </w:p>
    <w:p w14:paraId="3E9634B3" w14:textId="7777777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d) czy zachowanie to było umyślne lub stopień zaniedbania;</w:t>
      </w:r>
    </w:p>
    <w:p w14:paraId="23707F2F" w14:textId="7777777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e) w przypadkach, o których mowa w ust. 1 lit. b), fakt czy w grę wchodzi nieznaczna kwota;</w:t>
      </w:r>
    </w:p>
    <w:p w14:paraId="2DCC04D8" w14:textId="7777777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f) wszelkie inne okoliczności łagodzące, takie jak:</w:t>
      </w:r>
    </w:p>
    <w:p w14:paraId="3D2D9015" w14:textId="7664717D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(i) stopień współpracy osoby lub podmiotu, o których mowa w art. 135 ust. 2, z odpowiednim właściwym organem oraz wkład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tej osoby lub tego podmiotu w dochodzenie uznany przez właściwego urzędnika zatwierdzającego, lub</w:t>
      </w:r>
    </w:p>
    <w:p w14:paraId="17FD5ADC" w14:textId="7777777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(ii) ujawnienie sytuacji wykluczenia za pomocą oświadczenia, o którym mowa w art. 137 ust. 1.</w:t>
      </w:r>
    </w:p>
    <w:p w14:paraId="6D936C9B" w14:textId="7777777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4. Właściwy urzędnik zatwierdzający wyklucza osobę lub podmiot, o których mowa w art. 135 ust. 2, w przypadku gdy:</w:t>
      </w:r>
    </w:p>
    <w:p w14:paraId="7FC8CAC4" w14:textId="70DEE041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a) osoba fizyczna lub prawna, która jest członkiem organu administracyjnego, zarządzającego lub nadzorczego osoby lub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podmiotu, o których mowa w art. 135 ust. 2, lub która posiada uprawnienia do reprezentowania, uprawnienia decyzyjne lub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 xml:space="preserve">kontrolne w odniesieniu do tej osoby lub podmiotu, znajduje się w co najmniej jednej z sytuacji, o których mowa w ust. 1 </w:t>
      </w:r>
      <w:proofErr w:type="spellStart"/>
      <w:r w:rsidRPr="00867C58">
        <w:rPr>
          <w:color w:val="auto"/>
          <w:kern w:val="2"/>
          <w:sz w:val="16"/>
          <w:szCs w:val="16"/>
          <w14:ligatures w14:val="standardContextual"/>
        </w:rPr>
        <w:t>lit.c</w:t>
      </w:r>
      <w:proofErr w:type="spellEnd"/>
      <w:r w:rsidRPr="00867C58">
        <w:rPr>
          <w:color w:val="auto"/>
          <w:kern w:val="2"/>
          <w:sz w:val="16"/>
          <w:szCs w:val="16"/>
          <w14:ligatures w14:val="standardContextual"/>
        </w:rPr>
        <w:t>)-h) niniejszego artykułu;</w:t>
      </w:r>
    </w:p>
    <w:p w14:paraId="09301DE1" w14:textId="1D422805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b) osoba fizyczna lub prawna ponosząca nieograniczoną odpowiedzialność za długi osoby lub podmiotu, o których mowa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w art. 135 ust. 2, znajduje się w co najmniej jednej z sytuacji, o których mowa w ust. 1 lit. a) lub b) niniejszego artykułu;</w:t>
      </w:r>
    </w:p>
    <w:p w14:paraId="15F6FCD5" w14:textId="7777777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c) osoba fizyczna, która pełni kluczową funkcję w procedurze wyboru lub w wykonaniu zobowiązania prawnego, znajduje się</w:t>
      </w:r>
    </w:p>
    <w:p w14:paraId="3F4E44C8" w14:textId="77777777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w co najmniej jednej z sytuacji, o których mowa w ust. 1 lit. c)-h).</w:t>
      </w:r>
    </w:p>
    <w:p w14:paraId="1E42FDD7" w14:textId="78790AC8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5. W przypadkach, o których mowa w ust. 2 niniejszego artykułu, właściwy urzędnik zatwierdzający może tymczasowo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wykluczyć osobę lub podmiot, o których mowa w art. 135 ust. 2, bez uprzedniego zalecenia zespołu, o którym mowa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w art. 143, w przypadku gdy udział podmiotu lub osoby w procedurze wyboru lub ich selekcja w celu wykonania środków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finansowych Unii stanowiłyby poważne i bezpośrednie zagrożenie dla interesów finansowych Unii. W takich przypadkach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właściwy urzędnik zatwierdzający natychmiast przekazuje sprawę zespołowi, o którym mowa w art. 143, oraz podejmuje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ostateczną decyzję nie później niż 14 dni po otrzymaniu zalecenia zespołu.</w:t>
      </w:r>
    </w:p>
    <w:p w14:paraId="7261C5E0" w14:textId="3DE3A228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6. Właściwy urzędnik zatwierdzający, w stosownych przypadkach uwzględniając zalecenie zespołu, o którym mowa w art.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143, nie wyklucza osoby lub podmiotu, o których mowa w art. 135 ust. 2, z udziału w procedurze wyboru lub z selekcji w celu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wykonania środków finansowych Unii, w przypadku gdy:</w:t>
      </w:r>
    </w:p>
    <w:p w14:paraId="7D494507" w14:textId="3297565F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a) osoba lub podmiot podjęły środki zaradcze określone w ust. 7 niniejszego artykułu, w zakresie, w jakim są one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wystarczające, aby wykazać rzetelność tej osoby lub tego podmiotu. Niniejszej litery nie stosuje się w przypadku, o którym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mowa w ust. 1 lit. d) niniejszego artykułu;</w:t>
      </w:r>
    </w:p>
    <w:p w14:paraId="76DA3640" w14:textId="12446363" w:rsidR="00867C58" w:rsidRPr="00867C58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b) jest to niezbędne, aby zapewnić ciągłość usług, w ograniczonym okresie i w oczekiwaniu na przyjęcie środków zaradczych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określonych w ust. 7 niniejszego artykułu;</w:t>
      </w:r>
    </w:p>
    <w:p w14:paraId="6C9A7AE3" w14:textId="15FD1FD8" w:rsidR="006D1103" w:rsidRPr="00935FC1" w:rsidRDefault="00867C58" w:rsidP="00867C58">
      <w:pPr>
        <w:spacing w:line="276" w:lineRule="auto"/>
        <w:rPr>
          <w:color w:val="auto"/>
          <w:kern w:val="2"/>
          <w:sz w:val="16"/>
          <w:szCs w:val="16"/>
          <w14:ligatures w14:val="standardContextual"/>
        </w:rPr>
      </w:pPr>
      <w:r w:rsidRPr="00867C58">
        <w:rPr>
          <w:color w:val="auto"/>
          <w:kern w:val="2"/>
          <w:sz w:val="16"/>
          <w:szCs w:val="16"/>
          <w14:ligatures w14:val="standardContextual"/>
        </w:rPr>
        <w:t>c) takie wykluczenie byłoby nieproporcjonalne w oparciu o kryteria, o których mowa w ust. 3 niniejszego artykułu.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Ponadto ust. 1 lit. a) niniejszego artykułu nie ma zastosowania do zakupu dostaw na szczególnie korzystnych warunkach od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dostawcy definitywnie likwidującego swoją działalność albo od likwidatorów w postępowaniu upadłościowym, w wyniku</w:t>
      </w:r>
      <w:r w:rsidR="00935FC1">
        <w:rPr>
          <w:color w:val="auto"/>
          <w:kern w:val="2"/>
          <w:sz w:val="16"/>
          <w:szCs w:val="16"/>
          <w14:ligatures w14:val="standardContextual"/>
        </w:rPr>
        <w:t xml:space="preserve"> </w:t>
      </w:r>
      <w:r w:rsidRPr="00867C58">
        <w:rPr>
          <w:color w:val="auto"/>
          <w:kern w:val="2"/>
          <w:sz w:val="16"/>
          <w:szCs w:val="16"/>
          <w14:ligatures w14:val="standardContextual"/>
        </w:rPr>
        <w:t>układu z wierzycielami lub podobnej procedury na mocy prawa Unii lub prawa krajowego.</w:t>
      </w:r>
    </w:p>
    <w:sectPr w:rsidR="006D1103" w:rsidRPr="00935FC1" w:rsidSect="00A63A98">
      <w:headerReference w:type="default" r:id="rId9"/>
      <w:footerReference w:type="default" r:id="rId10"/>
      <w:pgSz w:w="11906" w:h="16838"/>
      <w:pgMar w:top="1701" w:right="849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47200" w14:textId="77777777" w:rsidR="009D6B2C" w:rsidRDefault="009D6B2C" w:rsidP="00A21EA0">
      <w:r>
        <w:separator/>
      </w:r>
    </w:p>
  </w:endnote>
  <w:endnote w:type="continuationSeparator" w:id="0">
    <w:p w14:paraId="4647EFC7" w14:textId="77777777" w:rsidR="009D6B2C" w:rsidRDefault="009D6B2C" w:rsidP="00A2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EA729" w14:textId="10CC4880" w:rsidR="00A95259" w:rsidRDefault="007B78D8" w:rsidP="007B78D8">
    <w:pPr>
      <w:pStyle w:val="Stopka"/>
      <w:ind w:left="709"/>
      <w:jc w:val="left"/>
    </w:pPr>
    <w:r>
      <w:rPr>
        <w:noProof/>
        <w:lang w:eastAsia="pl-PL"/>
      </w:rPr>
      <w:drawing>
        <wp:inline distT="0" distB="0" distL="0" distR="0" wp14:anchorId="08061046" wp14:editId="1894A69F">
          <wp:extent cx="4714506" cy="648000"/>
          <wp:effectExtent l="0" t="0" r="0" b="0"/>
          <wp:docPr id="213789803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898031" name="Obraz 2137898031"/>
                  <pic:cNvPicPr/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506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275013" w14:textId="2FFC1AB3" w:rsidR="00933424" w:rsidRDefault="00933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B0DDC" w14:textId="77777777" w:rsidR="009D6B2C" w:rsidRDefault="009D6B2C" w:rsidP="00A21EA0">
      <w:r>
        <w:separator/>
      </w:r>
    </w:p>
  </w:footnote>
  <w:footnote w:type="continuationSeparator" w:id="0">
    <w:p w14:paraId="04603E38" w14:textId="77777777" w:rsidR="009D6B2C" w:rsidRDefault="009D6B2C" w:rsidP="00A21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EE2BC" w14:textId="368190C6" w:rsidR="00A63A98" w:rsidRDefault="00D527E7">
    <w:pPr>
      <w:pStyle w:val="Nagwek"/>
    </w:pPr>
    <w:r>
      <w:rPr>
        <w:noProof/>
        <w:lang w:eastAsia="pl-PL"/>
      </w:rPr>
      <w:drawing>
        <wp:inline distT="0" distB="0" distL="0" distR="0" wp14:anchorId="239BD3BF" wp14:editId="2C171BBB">
          <wp:extent cx="6030595" cy="565785"/>
          <wp:effectExtent l="0" t="0" r="8255" b="5715"/>
          <wp:docPr id="207618636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36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56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26B08"/>
    <w:multiLevelType w:val="hybridMultilevel"/>
    <w:tmpl w:val="A4969696"/>
    <w:lvl w:ilvl="0" w:tplc="431C13D0">
      <w:start w:val="1"/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50D92"/>
    <w:multiLevelType w:val="multilevel"/>
    <w:tmpl w:val="5C5C9B64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  <w:sz w:val="20"/>
      </w:rPr>
    </w:lvl>
    <w:lvl w:ilvl="1">
      <w:start w:val="18"/>
      <w:numFmt w:val="decimal"/>
      <w:isLgl/>
      <w:lvlText w:val="%1.%2"/>
      <w:lvlJc w:val="left"/>
      <w:pPr>
        <w:ind w:left="38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89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9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49" w:hanging="72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109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109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09" w:hanging="108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C0D"/>
    <w:rsid w:val="00025BCF"/>
    <w:rsid w:val="00036582"/>
    <w:rsid w:val="00086B82"/>
    <w:rsid w:val="00093AFF"/>
    <w:rsid w:val="000E437C"/>
    <w:rsid w:val="000E5F64"/>
    <w:rsid w:val="0014235C"/>
    <w:rsid w:val="001C210C"/>
    <w:rsid w:val="001D0A7D"/>
    <w:rsid w:val="001D164B"/>
    <w:rsid w:val="001E02E2"/>
    <w:rsid w:val="001E70A4"/>
    <w:rsid w:val="00222112"/>
    <w:rsid w:val="002256FB"/>
    <w:rsid w:val="00226435"/>
    <w:rsid w:val="002427F3"/>
    <w:rsid w:val="00292244"/>
    <w:rsid w:val="002A5EEF"/>
    <w:rsid w:val="002D123F"/>
    <w:rsid w:val="002D5F63"/>
    <w:rsid w:val="00307076"/>
    <w:rsid w:val="00386869"/>
    <w:rsid w:val="003A0F29"/>
    <w:rsid w:val="003A18FF"/>
    <w:rsid w:val="003A5B78"/>
    <w:rsid w:val="003C51E4"/>
    <w:rsid w:val="004375FE"/>
    <w:rsid w:val="004A405D"/>
    <w:rsid w:val="004F5B73"/>
    <w:rsid w:val="005109F3"/>
    <w:rsid w:val="00531102"/>
    <w:rsid w:val="0054367B"/>
    <w:rsid w:val="00562B23"/>
    <w:rsid w:val="00574C2D"/>
    <w:rsid w:val="005814A1"/>
    <w:rsid w:val="005F2E4F"/>
    <w:rsid w:val="00605AAC"/>
    <w:rsid w:val="0067466F"/>
    <w:rsid w:val="006750FF"/>
    <w:rsid w:val="006D1103"/>
    <w:rsid w:val="006E3A49"/>
    <w:rsid w:val="007415C1"/>
    <w:rsid w:val="007830D8"/>
    <w:rsid w:val="00784B33"/>
    <w:rsid w:val="0079626B"/>
    <w:rsid w:val="007A0A37"/>
    <w:rsid w:val="007A4EC9"/>
    <w:rsid w:val="007A5B00"/>
    <w:rsid w:val="007A7D9B"/>
    <w:rsid w:val="007B78D8"/>
    <w:rsid w:val="007C3B2F"/>
    <w:rsid w:val="007D0E79"/>
    <w:rsid w:val="007E564D"/>
    <w:rsid w:val="00801C95"/>
    <w:rsid w:val="00807348"/>
    <w:rsid w:val="00836D51"/>
    <w:rsid w:val="00843646"/>
    <w:rsid w:val="00867C58"/>
    <w:rsid w:val="00895D58"/>
    <w:rsid w:val="00933424"/>
    <w:rsid w:val="00935FC1"/>
    <w:rsid w:val="009623E7"/>
    <w:rsid w:val="00972FA3"/>
    <w:rsid w:val="009756B5"/>
    <w:rsid w:val="009844CA"/>
    <w:rsid w:val="009D6B2C"/>
    <w:rsid w:val="00A21EA0"/>
    <w:rsid w:val="00A3286F"/>
    <w:rsid w:val="00A43C70"/>
    <w:rsid w:val="00A44D8E"/>
    <w:rsid w:val="00A63A98"/>
    <w:rsid w:val="00A8082F"/>
    <w:rsid w:val="00A841F7"/>
    <w:rsid w:val="00A95259"/>
    <w:rsid w:val="00AB26FA"/>
    <w:rsid w:val="00AD471B"/>
    <w:rsid w:val="00AE7F4B"/>
    <w:rsid w:val="00BB5D36"/>
    <w:rsid w:val="00BC5CDA"/>
    <w:rsid w:val="00BD035F"/>
    <w:rsid w:val="00C47F6F"/>
    <w:rsid w:val="00C50FCA"/>
    <w:rsid w:val="00C60433"/>
    <w:rsid w:val="00C65E7F"/>
    <w:rsid w:val="00CA21F7"/>
    <w:rsid w:val="00CA2DF5"/>
    <w:rsid w:val="00CE0BC9"/>
    <w:rsid w:val="00D13F5D"/>
    <w:rsid w:val="00D31ED9"/>
    <w:rsid w:val="00D3564E"/>
    <w:rsid w:val="00D527E7"/>
    <w:rsid w:val="00D903CF"/>
    <w:rsid w:val="00DA5ADB"/>
    <w:rsid w:val="00DB5FBC"/>
    <w:rsid w:val="00DC1937"/>
    <w:rsid w:val="00E947AF"/>
    <w:rsid w:val="00E95500"/>
    <w:rsid w:val="00F16C0D"/>
    <w:rsid w:val="00F33F23"/>
    <w:rsid w:val="00F4105E"/>
    <w:rsid w:val="00FB527E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84D19"/>
  <w15:chartTrackingRefBased/>
  <w15:docId w15:val="{820E233C-DC0E-41B1-B08D-EB267F6F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F4B"/>
    <w:pPr>
      <w:spacing w:after="0" w:line="240" w:lineRule="auto"/>
      <w:jc w:val="both"/>
    </w:pPr>
    <w:rPr>
      <w:color w:val="1D1D1D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1E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1EA0"/>
  </w:style>
  <w:style w:type="paragraph" w:styleId="Stopka">
    <w:name w:val="footer"/>
    <w:basedOn w:val="Normalny"/>
    <w:link w:val="StopkaZnak"/>
    <w:uiPriority w:val="99"/>
    <w:unhideWhenUsed/>
    <w:rsid w:val="00A21E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1EA0"/>
  </w:style>
  <w:style w:type="character" w:styleId="Hipercze">
    <w:name w:val="Hyperlink"/>
    <w:basedOn w:val="Domylnaczcionkaakapitu"/>
    <w:uiPriority w:val="99"/>
    <w:unhideWhenUsed/>
    <w:rsid w:val="00C47F6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7F6F"/>
    <w:rPr>
      <w:color w:val="605E5C"/>
      <w:shd w:val="clear" w:color="auto" w:fill="E1DFDD"/>
    </w:rPr>
  </w:style>
  <w:style w:type="table" w:customStyle="1" w:styleId="Tabela-Siatka4">
    <w:name w:val="Tabela - Siatka4"/>
    <w:basedOn w:val="Standardowy"/>
    <w:next w:val="Tabela-Siatka"/>
    <w:rsid w:val="00AE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E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6D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,CW_Lista"/>
    <w:basedOn w:val="Normalny"/>
    <w:link w:val="AkapitzlistZnak"/>
    <w:uiPriority w:val="34"/>
    <w:qFormat/>
    <w:rsid w:val="00086B82"/>
    <w:pPr>
      <w:spacing w:after="160" w:line="259" w:lineRule="auto"/>
      <w:ind w:left="720"/>
      <w:contextualSpacing/>
      <w:jc w:val="left"/>
    </w:pPr>
    <w:rPr>
      <w:color w:val="auto"/>
      <w:sz w:val="22"/>
      <w:szCs w:val="22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086B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6B82"/>
    <w:pPr>
      <w:jc w:val="left"/>
    </w:pPr>
    <w:rPr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6B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6B8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086B82"/>
    <w:pPr>
      <w:jc w:val="center"/>
    </w:pPr>
    <w:rPr>
      <w:rFonts w:ascii="Times New Roman" w:eastAsia="Calibri" w:hAnsi="Times New Roman" w:cs="Times New Roman"/>
      <w:b/>
      <w:bCs/>
      <w:color w:val="auto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86B82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86B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086B82"/>
    <w:rPr>
      <w:color w:val="1D1D1D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39"/>
    <w:rsid w:val="00A6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CD50F0BD1624588085D19F2733E63" ma:contentTypeVersion="13" ma:contentTypeDescription="Utwórz nowy dokument." ma:contentTypeScope="" ma:versionID="931416bfd38d19225afca9cd3af83703">
  <xsd:schema xmlns:xsd="http://www.w3.org/2001/XMLSchema" xmlns:xs="http://www.w3.org/2001/XMLSchema" xmlns:p="http://schemas.microsoft.com/office/2006/metadata/properties" xmlns:ns2="0c409383-47ae-4be9-bc6c-328b924555bc" xmlns:ns3="035bc8cd-224c-4ef7-98f0-a5336e83a8e8" targetNamespace="http://schemas.microsoft.com/office/2006/metadata/properties" ma:root="true" ma:fieldsID="3b9024443c5d8132f2301ea79f6b5a1c" ns2:_="" ns3:_="">
    <xsd:import namespace="0c409383-47ae-4be9-bc6c-328b924555bc"/>
    <xsd:import namespace="035bc8cd-224c-4ef7-98f0-a5336e83a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09383-47ae-4be9-bc6c-328b92455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4def48b2-4aba-40a1-9746-b80a613fbc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bc8cd-224c-4ef7-98f0-a5336e83a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4f1cbab-2c64-4929-b411-5b4245d09eba}" ma:internalName="TaxCatchAll" ma:showField="CatchAllData" ma:web="035bc8cd-224c-4ef7-98f0-a5336e83a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280C1-C491-4F8A-B61F-8B19F99E8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25694-1233-4A60-A736-16C6DF014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09383-47ae-4be9-bc6c-328b924555bc"/>
    <ds:schemaRef ds:uri="035bc8cd-224c-4ef7-98f0-a5336e83a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2025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Rolny</dc:creator>
  <cp:keywords/>
  <dc:description/>
  <cp:lastModifiedBy>OCWP</cp:lastModifiedBy>
  <cp:revision>2</cp:revision>
  <cp:lastPrinted>2025-10-15T11:09:00Z</cp:lastPrinted>
  <dcterms:created xsi:type="dcterms:W3CDTF">2025-10-15T11:10:00Z</dcterms:created>
  <dcterms:modified xsi:type="dcterms:W3CDTF">2025-10-15T11:10:00Z</dcterms:modified>
</cp:coreProperties>
</file>