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B9" w:rsidRPr="002735B9" w:rsidRDefault="002735B9" w:rsidP="002735B9">
      <w:pPr>
        <w:spacing w:after="0" w:line="259" w:lineRule="auto"/>
        <w:ind w:left="0" w:right="0" w:firstLine="0"/>
        <w:jc w:val="center"/>
        <w:rPr>
          <w:rFonts w:ascii="Verdana" w:hAnsi="Verdana"/>
          <w:sz w:val="28"/>
        </w:rPr>
      </w:pPr>
      <w:bookmarkStart w:id="0" w:name="_GoBack"/>
      <w:r w:rsidRPr="002735B9">
        <w:rPr>
          <w:rFonts w:ascii="Verdana" w:hAnsi="Verdana"/>
          <w:b/>
          <w:sz w:val="28"/>
        </w:rPr>
        <w:t>TABELA OPROCENTOWANIA</w:t>
      </w:r>
    </w:p>
    <w:bookmarkEnd w:id="0"/>
    <w:p w:rsidR="002735B9" w:rsidRPr="0097465A" w:rsidRDefault="002735B9" w:rsidP="002735B9">
      <w:pPr>
        <w:spacing w:after="0" w:line="259" w:lineRule="auto"/>
        <w:ind w:left="0" w:right="0" w:firstLine="0"/>
        <w:jc w:val="center"/>
        <w:rPr>
          <w:sz w:val="14"/>
        </w:rPr>
      </w:pPr>
      <w:r>
        <w:rPr>
          <w:b/>
        </w:rPr>
        <w:t xml:space="preserve"> </w:t>
      </w:r>
    </w:p>
    <w:p w:rsidR="002735B9" w:rsidRPr="002735B9" w:rsidRDefault="002735B9" w:rsidP="002735B9">
      <w:pPr>
        <w:spacing w:after="0"/>
        <w:ind w:left="-5" w:right="46"/>
        <w:jc w:val="center"/>
        <w:rPr>
          <w:rFonts w:ascii="Verdana" w:eastAsia="Calibri" w:hAnsi="Verdana"/>
          <w:i/>
          <w:color w:val="auto"/>
          <w:sz w:val="20"/>
          <w:lang w:eastAsia="en-US"/>
        </w:rPr>
      </w:pPr>
      <w:r w:rsidRPr="002735B9">
        <w:rPr>
          <w:rFonts w:ascii="Verdana" w:hAnsi="Verdana"/>
          <w:i/>
          <w:sz w:val="20"/>
        </w:rPr>
        <w:t xml:space="preserve">dla </w:t>
      </w:r>
      <w:r w:rsidRPr="002735B9">
        <w:rPr>
          <w:rFonts w:ascii="Verdana" w:eastAsia="Calibri" w:hAnsi="Verdana"/>
          <w:i/>
          <w:color w:val="auto"/>
          <w:sz w:val="20"/>
          <w:lang w:eastAsia="en-US"/>
        </w:rPr>
        <w:t xml:space="preserve">Pożyczki Obrotowej udzielonej przez </w:t>
      </w:r>
    </w:p>
    <w:p w:rsidR="002735B9" w:rsidRPr="002735B9" w:rsidRDefault="002735B9" w:rsidP="002735B9">
      <w:pPr>
        <w:ind w:left="-5" w:right="46"/>
        <w:jc w:val="center"/>
        <w:rPr>
          <w:rFonts w:ascii="Verdana" w:hAnsi="Verdana"/>
          <w:i/>
          <w:sz w:val="20"/>
        </w:rPr>
      </w:pPr>
      <w:r w:rsidRPr="002735B9">
        <w:rPr>
          <w:rFonts w:ascii="Verdana" w:eastAsia="Calibri" w:hAnsi="Verdana"/>
          <w:i/>
          <w:color w:val="auto"/>
          <w:sz w:val="20"/>
          <w:lang w:eastAsia="en-US"/>
        </w:rPr>
        <w:t>Stowarzyszenie „Ostrowskie Centrum Wspierania Przedsiębiorczości”</w:t>
      </w:r>
    </w:p>
    <w:p w:rsidR="002735B9" w:rsidRPr="0097465A" w:rsidRDefault="002735B9" w:rsidP="002735B9">
      <w:pPr>
        <w:spacing w:after="0" w:line="259" w:lineRule="auto"/>
        <w:ind w:left="0" w:right="0" w:firstLine="0"/>
        <w:jc w:val="left"/>
        <w:rPr>
          <w:sz w:val="22"/>
          <w:u w:val="single"/>
        </w:rPr>
      </w:pPr>
      <w:r w:rsidRPr="0097465A">
        <w:rPr>
          <w:sz w:val="22"/>
          <w:u w:val="single"/>
        </w:rPr>
        <w:t xml:space="preserve"> </w:t>
      </w:r>
    </w:p>
    <w:p w:rsidR="002735B9" w:rsidRPr="002735B9" w:rsidRDefault="002735B9" w:rsidP="002735B9">
      <w:pPr>
        <w:ind w:left="-5" w:right="46"/>
        <w:jc w:val="center"/>
        <w:rPr>
          <w:rFonts w:ascii="Verdana" w:hAnsi="Verdana"/>
          <w:color w:val="auto"/>
          <w:sz w:val="20"/>
        </w:rPr>
      </w:pPr>
      <w:r w:rsidRPr="002735B9">
        <w:rPr>
          <w:rFonts w:ascii="Verdana" w:hAnsi="Verdana"/>
          <w:color w:val="auto"/>
          <w:sz w:val="20"/>
        </w:rPr>
        <w:t xml:space="preserve">obowiązuje od dnia </w:t>
      </w:r>
      <w:r w:rsidR="005C1332">
        <w:rPr>
          <w:rFonts w:ascii="Verdana" w:hAnsi="Verdana"/>
          <w:color w:val="auto"/>
          <w:sz w:val="20"/>
        </w:rPr>
        <w:t xml:space="preserve">01 </w:t>
      </w:r>
      <w:r w:rsidR="00295142">
        <w:rPr>
          <w:rFonts w:ascii="Verdana" w:hAnsi="Verdana"/>
          <w:color w:val="auto"/>
          <w:sz w:val="20"/>
        </w:rPr>
        <w:t>września</w:t>
      </w:r>
      <w:r w:rsidRPr="002735B9">
        <w:rPr>
          <w:rFonts w:ascii="Verdana" w:hAnsi="Verdana"/>
          <w:color w:val="auto"/>
          <w:sz w:val="20"/>
        </w:rPr>
        <w:t xml:space="preserve"> 202</w:t>
      </w:r>
      <w:r w:rsidR="00E54257">
        <w:rPr>
          <w:rFonts w:ascii="Verdana" w:hAnsi="Verdana"/>
          <w:color w:val="auto"/>
          <w:sz w:val="20"/>
        </w:rPr>
        <w:t>2</w:t>
      </w:r>
      <w:r w:rsidRPr="002735B9">
        <w:rPr>
          <w:rFonts w:ascii="Verdana" w:hAnsi="Verdana"/>
          <w:color w:val="auto"/>
          <w:sz w:val="20"/>
        </w:rPr>
        <w:t xml:space="preserve"> roku</w:t>
      </w:r>
    </w:p>
    <w:p w:rsidR="002735B9" w:rsidRDefault="002735B9" w:rsidP="002735B9">
      <w:pPr>
        <w:ind w:left="-5" w:right="46"/>
        <w:jc w:val="center"/>
        <w:rPr>
          <w:b/>
          <w:i/>
        </w:rPr>
      </w:pPr>
    </w:p>
    <w:p w:rsidR="00E20FE6" w:rsidRDefault="00E20FE6"/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529"/>
        <w:gridCol w:w="2977"/>
        <w:gridCol w:w="2546"/>
      </w:tblGrid>
      <w:tr w:rsidR="002735B9" w:rsidTr="00C31DD4">
        <w:trPr>
          <w:trHeight w:val="932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2735B9" w:rsidRPr="002735B9" w:rsidRDefault="002735B9" w:rsidP="002735B9">
            <w:pPr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2735B9">
              <w:rPr>
                <w:rFonts w:ascii="Verdana" w:hAnsi="Verdana"/>
                <w:b/>
                <w:sz w:val="20"/>
              </w:rPr>
              <w:t>RODZAJ PRZEDSIĘBIORCY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735B9" w:rsidRPr="002735B9" w:rsidRDefault="002735B9" w:rsidP="002735B9">
            <w:pPr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2735B9">
              <w:rPr>
                <w:rFonts w:ascii="Verdana" w:hAnsi="Verdana"/>
                <w:b/>
                <w:sz w:val="20"/>
              </w:rPr>
              <w:t>DŁUGOŚĆ PROWADZENIA DZIAŁ. GOSPODARCZEJ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2735B9" w:rsidRPr="002735B9" w:rsidRDefault="002735B9" w:rsidP="002735B9">
            <w:pPr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2735B9">
              <w:rPr>
                <w:rFonts w:ascii="Verdana" w:hAnsi="Verdana"/>
                <w:b/>
                <w:sz w:val="20"/>
              </w:rPr>
              <w:t>OPROCENTOWANIE</w:t>
            </w:r>
          </w:p>
        </w:tc>
      </w:tr>
      <w:tr w:rsidR="002735B9" w:rsidTr="002735B9">
        <w:trPr>
          <w:trHeight w:val="972"/>
        </w:trPr>
        <w:tc>
          <w:tcPr>
            <w:tcW w:w="3529" w:type="dxa"/>
            <w:vMerge w:val="restart"/>
            <w:vAlign w:val="center"/>
          </w:tcPr>
          <w:p w:rsidR="002735B9" w:rsidRPr="002735B9" w:rsidRDefault="002735B9" w:rsidP="002735B9">
            <w:pPr>
              <w:ind w:left="0" w:right="33"/>
              <w:rPr>
                <w:rFonts w:ascii="Verdana" w:hAnsi="Verdana"/>
                <w:sz w:val="20"/>
                <w:szCs w:val="20"/>
              </w:rPr>
            </w:pPr>
            <w:r w:rsidRPr="002735B9">
              <w:rPr>
                <w:rFonts w:ascii="Verdana" w:hAnsi="Verdana" w:cstheme="minorHAnsi"/>
                <w:sz w:val="20"/>
                <w:szCs w:val="20"/>
              </w:rPr>
              <w:t>Pożyczkobiorcy, którzy spełniają wszystkie warunki umożliwiające uzyskanie Jednostkowej Pożyczki Obrotowej</w:t>
            </w:r>
          </w:p>
        </w:tc>
        <w:tc>
          <w:tcPr>
            <w:tcW w:w="2977" w:type="dxa"/>
            <w:vAlign w:val="center"/>
          </w:tcPr>
          <w:p w:rsidR="002735B9" w:rsidRPr="00C31DD4" w:rsidRDefault="002735B9" w:rsidP="002735B9">
            <w:pPr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31DD4">
              <w:rPr>
                <w:rFonts w:ascii="Verdana" w:hAnsi="Verdana"/>
                <w:sz w:val="20"/>
                <w:szCs w:val="20"/>
              </w:rPr>
              <w:t>do 24 miesięcy</w:t>
            </w:r>
          </w:p>
        </w:tc>
        <w:tc>
          <w:tcPr>
            <w:tcW w:w="2546" w:type="dxa"/>
            <w:vAlign w:val="center"/>
          </w:tcPr>
          <w:p w:rsidR="002735B9" w:rsidRPr="002735B9" w:rsidRDefault="003C5FF8" w:rsidP="00295142">
            <w:pPr>
              <w:ind w:left="0" w:firstLine="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1</w:t>
            </w:r>
            <w:r w:rsidR="00295142">
              <w:rPr>
                <w:rFonts w:ascii="Verdana" w:hAnsi="Verdana"/>
                <w:b/>
                <w:sz w:val="28"/>
              </w:rPr>
              <w:t>1</w:t>
            </w:r>
            <w:r w:rsidR="00226B0A">
              <w:rPr>
                <w:rFonts w:ascii="Verdana" w:hAnsi="Verdana"/>
                <w:b/>
                <w:sz w:val="28"/>
              </w:rPr>
              <w:t>,</w:t>
            </w:r>
            <w:r w:rsidR="00295142">
              <w:rPr>
                <w:rFonts w:ascii="Verdana" w:hAnsi="Verdana"/>
                <w:b/>
                <w:sz w:val="28"/>
              </w:rPr>
              <w:t>67</w:t>
            </w:r>
            <w:r w:rsidR="002735B9" w:rsidRPr="002735B9">
              <w:rPr>
                <w:rFonts w:ascii="Verdana" w:hAnsi="Verdana"/>
                <w:b/>
                <w:sz w:val="28"/>
              </w:rPr>
              <w:t>%</w:t>
            </w:r>
            <w:r w:rsidR="002735B9" w:rsidRPr="002735B9">
              <w:rPr>
                <w:rFonts w:ascii="Verdana" w:hAnsi="Verdana"/>
                <w:sz w:val="28"/>
                <w:vertAlign w:val="superscript"/>
              </w:rPr>
              <w:t>*</w:t>
            </w:r>
          </w:p>
        </w:tc>
      </w:tr>
      <w:tr w:rsidR="002735B9" w:rsidTr="002735B9">
        <w:trPr>
          <w:trHeight w:val="1123"/>
        </w:trPr>
        <w:tc>
          <w:tcPr>
            <w:tcW w:w="3529" w:type="dxa"/>
            <w:vMerge/>
            <w:vAlign w:val="center"/>
          </w:tcPr>
          <w:p w:rsidR="002735B9" w:rsidRPr="002735B9" w:rsidRDefault="002735B9" w:rsidP="002735B9">
            <w:pPr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5B9" w:rsidRPr="00C31DD4" w:rsidRDefault="002735B9" w:rsidP="002735B9">
            <w:pPr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31DD4">
              <w:rPr>
                <w:rFonts w:ascii="Verdana" w:hAnsi="Verdana"/>
                <w:sz w:val="20"/>
                <w:szCs w:val="20"/>
              </w:rPr>
              <w:t>powyżej 24 miesięcy</w:t>
            </w:r>
          </w:p>
        </w:tc>
        <w:tc>
          <w:tcPr>
            <w:tcW w:w="2546" w:type="dxa"/>
            <w:vAlign w:val="center"/>
          </w:tcPr>
          <w:p w:rsidR="002735B9" w:rsidRPr="002735B9" w:rsidRDefault="002735B9" w:rsidP="00295142">
            <w:pPr>
              <w:ind w:left="0" w:firstLine="0"/>
              <w:jc w:val="center"/>
              <w:rPr>
                <w:rFonts w:ascii="Verdana" w:hAnsi="Verdana"/>
                <w:b/>
                <w:sz w:val="28"/>
                <w:vertAlign w:val="superscript"/>
              </w:rPr>
            </w:pPr>
            <w:r w:rsidRPr="002735B9">
              <w:rPr>
                <w:rFonts w:ascii="Verdana" w:hAnsi="Verdana"/>
                <w:b/>
                <w:sz w:val="28"/>
              </w:rPr>
              <w:t xml:space="preserve">od </w:t>
            </w:r>
            <w:r w:rsidR="00295142">
              <w:rPr>
                <w:rFonts w:ascii="Verdana" w:hAnsi="Verdana"/>
                <w:b/>
                <w:sz w:val="28"/>
              </w:rPr>
              <w:t>8</w:t>
            </w:r>
            <w:r w:rsidR="005A4BFA">
              <w:rPr>
                <w:rFonts w:ascii="Verdana" w:hAnsi="Verdana"/>
                <w:b/>
                <w:sz w:val="28"/>
              </w:rPr>
              <w:t>,</w:t>
            </w:r>
            <w:r w:rsidR="00295142">
              <w:rPr>
                <w:rFonts w:ascii="Verdana" w:hAnsi="Verdana"/>
                <w:b/>
                <w:sz w:val="28"/>
              </w:rPr>
              <w:t>27</w:t>
            </w:r>
            <w:r w:rsidRPr="002735B9">
              <w:rPr>
                <w:rFonts w:ascii="Verdana" w:hAnsi="Verdana"/>
                <w:b/>
                <w:sz w:val="28"/>
              </w:rPr>
              <w:t>%</w:t>
            </w:r>
            <w:r w:rsidRPr="002735B9">
              <w:rPr>
                <w:rFonts w:ascii="Verdana" w:hAnsi="Verdana"/>
                <w:sz w:val="28"/>
                <w:vertAlign w:val="superscript"/>
              </w:rPr>
              <w:t>*</w:t>
            </w:r>
          </w:p>
        </w:tc>
      </w:tr>
      <w:tr w:rsidR="002735B9" w:rsidTr="00BA698D">
        <w:trPr>
          <w:trHeight w:val="2689"/>
        </w:trPr>
        <w:tc>
          <w:tcPr>
            <w:tcW w:w="3529" w:type="dxa"/>
            <w:vMerge w:val="restart"/>
            <w:vAlign w:val="center"/>
          </w:tcPr>
          <w:p w:rsidR="002735B9" w:rsidRPr="002735B9" w:rsidRDefault="002735B9" w:rsidP="002735B9">
            <w:pPr>
              <w:pStyle w:val="Defaul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bookmarkStart w:id="1" w:name="_Hlk43465404"/>
            <w:r w:rsidRPr="002735B9">
              <w:rPr>
                <w:rFonts w:ascii="Verdana" w:hAnsi="Verdana" w:cs="Times New Roman"/>
                <w:sz w:val="20"/>
                <w:szCs w:val="20"/>
              </w:rPr>
              <w:t>Pożyczkobiorcy, którzy spełniają wszystkie warunki umożliwiające uzyskanie Jednostkowej Pożyczki Obrotowej i</w:t>
            </w:r>
            <w:r w:rsidRPr="002735B9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2735B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pl-PL"/>
              </w:rPr>
              <w:t xml:space="preserve">mają swoje siedziby na Obszarze Strategicznej Interwencji (OSI): „Miasta średnie tracące dotychczasowe funkcje społeczno-gospodarcze” (tj. 7 miast: </w:t>
            </w:r>
            <w:r w:rsidRPr="002D2E0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eastAsia="pl-PL"/>
              </w:rPr>
              <w:t>Gniezno, Koło, Konin, Piła, Pleszew, Turek, Złotów</w:t>
            </w:r>
            <w:r w:rsidRPr="002735B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pl-PL"/>
              </w:rPr>
              <w:t xml:space="preserve">) lub OSI: „Obszary zagrożone trwałą marginalizacją” (tj. 13 gmin: </w:t>
            </w:r>
            <w:r w:rsidRPr="002D2E0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eastAsia="pl-PL"/>
              </w:rPr>
              <w:t>Babiak, Chodów, Czajków, Drawsko, Jastrowie, Lipka, Okonek, Olszówka, Osieczna, Przedecz, Wapno, Wieleń i Wierzbinek</w:t>
            </w:r>
            <w:r w:rsidRPr="002735B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pl-PL"/>
              </w:rPr>
              <w:t>), wyznaczonych na poziomie krajowym i ujętych w Strategii rozwoju województwa wielkopolskiego do 2030 roku.</w:t>
            </w:r>
            <w:bookmarkEnd w:id="1"/>
          </w:p>
        </w:tc>
        <w:tc>
          <w:tcPr>
            <w:tcW w:w="2977" w:type="dxa"/>
            <w:vAlign w:val="center"/>
          </w:tcPr>
          <w:p w:rsidR="002735B9" w:rsidRPr="00C31DD4" w:rsidRDefault="002735B9" w:rsidP="002735B9">
            <w:pPr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31DD4">
              <w:rPr>
                <w:rFonts w:ascii="Verdana" w:hAnsi="Verdana"/>
                <w:sz w:val="20"/>
                <w:szCs w:val="20"/>
              </w:rPr>
              <w:t>do 24 miesięcy</w:t>
            </w:r>
          </w:p>
        </w:tc>
        <w:tc>
          <w:tcPr>
            <w:tcW w:w="2546" w:type="dxa"/>
            <w:vAlign w:val="center"/>
          </w:tcPr>
          <w:p w:rsidR="002735B9" w:rsidRPr="002735B9" w:rsidRDefault="00295142" w:rsidP="00295142">
            <w:pPr>
              <w:ind w:left="0" w:firstLine="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11</w:t>
            </w:r>
            <w:r w:rsidR="005922B5">
              <w:rPr>
                <w:rFonts w:ascii="Verdana" w:hAnsi="Verdana"/>
                <w:b/>
                <w:sz w:val="28"/>
              </w:rPr>
              <w:t>,</w:t>
            </w:r>
            <w:r>
              <w:rPr>
                <w:rFonts w:ascii="Verdana" w:hAnsi="Verdana"/>
                <w:b/>
                <w:sz w:val="28"/>
              </w:rPr>
              <w:t>17</w:t>
            </w:r>
            <w:r w:rsidR="002735B9" w:rsidRPr="002735B9">
              <w:rPr>
                <w:rFonts w:ascii="Verdana" w:hAnsi="Verdana"/>
                <w:b/>
                <w:sz w:val="28"/>
              </w:rPr>
              <w:t>%</w:t>
            </w:r>
            <w:r w:rsidR="002735B9" w:rsidRPr="002735B9">
              <w:rPr>
                <w:rFonts w:ascii="Verdana" w:hAnsi="Verdana"/>
                <w:sz w:val="28"/>
                <w:vertAlign w:val="superscript"/>
              </w:rPr>
              <w:t>*</w:t>
            </w:r>
          </w:p>
        </w:tc>
      </w:tr>
      <w:tr w:rsidR="002735B9" w:rsidTr="00BA698D">
        <w:trPr>
          <w:trHeight w:val="2810"/>
        </w:trPr>
        <w:tc>
          <w:tcPr>
            <w:tcW w:w="3529" w:type="dxa"/>
            <w:vMerge/>
          </w:tcPr>
          <w:p w:rsidR="002735B9" w:rsidRDefault="002735B9" w:rsidP="002735B9">
            <w:pPr>
              <w:ind w:left="0" w:firstLine="0"/>
            </w:pPr>
          </w:p>
        </w:tc>
        <w:tc>
          <w:tcPr>
            <w:tcW w:w="2977" w:type="dxa"/>
            <w:vAlign w:val="center"/>
          </w:tcPr>
          <w:p w:rsidR="002735B9" w:rsidRPr="00C31DD4" w:rsidRDefault="002735B9" w:rsidP="002735B9">
            <w:pPr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31DD4">
              <w:rPr>
                <w:rFonts w:ascii="Verdana" w:hAnsi="Verdana"/>
                <w:sz w:val="20"/>
                <w:szCs w:val="20"/>
              </w:rPr>
              <w:t>powyżej 24 miesięcy</w:t>
            </w:r>
          </w:p>
        </w:tc>
        <w:tc>
          <w:tcPr>
            <w:tcW w:w="2546" w:type="dxa"/>
            <w:vAlign w:val="center"/>
          </w:tcPr>
          <w:p w:rsidR="002735B9" w:rsidRPr="002735B9" w:rsidRDefault="003C0212" w:rsidP="00295142">
            <w:pPr>
              <w:ind w:left="0" w:firstLine="0"/>
              <w:jc w:val="center"/>
              <w:rPr>
                <w:rFonts w:ascii="Verdana" w:hAnsi="Verdana"/>
                <w:b/>
                <w:sz w:val="28"/>
                <w:vertAlign w:val="superscript"/>
              </w:rPr>
            </w:pPr>
            <w:r>
              <w:rPr>
                <w:rFonts w:ascii="Verdana" w:hAnsi="Verdana"/>
                <w:b/>
                <w:sz w:val="28"/>
              </w:rPr>
              <w:t>o</w:t>
            </w:r>
            <w:r w:rsidR="002735B9" w:rsidRPr="002735B9">
              <w:rPr>
                <w:rFonts w:ascii="Verdana" w:hAnsi="Verdana"/>
                <w:b/>
                <w:sz w:val="28"/>
              </w:rPr>
              <w:t>d</w:t>
            </w:r>
            <w:r w:rsidR="005A4BFA">
              <w:rPr>
                <w:rFonts w:ascii="Verdana" w:hAnsi="Verdana"/>
                <w:b/>
                <w:sz w:val="28"/>
              </w:rPr>
              <w:t xml:space="preserve"> </w:t>
            </w:r>
            <w:r w:rsidR="00295142">
              <w:rPr>
                <w:rFonts w:ascii="Verdana" w:hAnsi="Verdana"/>
                <w:b/>
                <w:sz w:val="28"/>
              </w:rPr>
              <w:t>7</w:t>
            </w:r>
            <w:r w:rsidR="00226B0A">
              <w:rPr>
                <w:rFonts w:ascii="Verdana" w:hAnsi="Verdana"/>
                <w:b/>
                <w:sz w:val="28"/>
              </w:rPr>
              <w:t>,</w:t>
            </w:r>
            <w:r w:rsidR="00295142">
              <w:rPr>
                <w:rFonts w:ascii="Verdana" w:hAnsi="Verdana"/>
                <w:b/>
                <w:sz w:val="28"/>
              </w:rPr>
              <w:t>77</w:t>
            </w:r>
            <w:r w:rsidR="002735B9" w:rsidRPr="002735B9">
              <w:rPr>
                <w:rFonts w:ascii="Verdana" w:hAnsi="Verdana"/>
                <w:b/>
                <w:sz w:val="28"/>
              </w:rPr>
              <w:t>%</w:t>
            </w:r>
            <w:r w:rsidR="002735B9" w:rsidRPr="002735B9">
              <w:rPr>
                <w:rFonts w:ascii="Verdana" w:hAnsi="Verdana"/>
                <w:sz w:val="28"/>
                <w:vertAlign w:val="superscript"/>
              </w:rPr>
              <w:t>*</w:t>
            </w:r>
          </w:p>
        </w:tc>
      </w:tr>
      <w:tr w:rsidR="002735B9" w:rsidTr="002735B9">
        <w:trPr>
          <w:trHeight w:val="995"/>
        </w:trPr>
        <w:tc>
          <w:tcPr>
            <w:tcW w:w="9052" w:type="dxa"/>
            <w:gridSpan w:val="3"/>
            <w:shd w:val="clear" w:color="auto" w:fill="D9D9D9" w:themeFill="background1" w:themeFillShade="D9"/>
            <w:vAlign w:val="center"/>
          </w:tcPr>
          <w:p w:rsidR="002735B9" w:rsidRPr="002735B9" w:rsidRDefault="002735B9" w:rsidP="00295142">
            <w:pPr>
              <w:pStyle w:val="Default"/>
              <w:jc w:val="center"/>
              <w:rPr>
                <w:rFonts w:ascii="Verdana" w:hAnsi="Verdana" w:cs="Times New Roman"/>
                <w:i/>
                <w:sz w:val="18"/>
                <w:szCs w:val="20"/>
              </w:rPr>
            </w:pPr>
            <w:r w:rsidRPr="002735B9">
              <w:rPr>
                <w:rFonts w:ascii="Verdana" w:hAnsi="Verdana" w:cs="Times New Roman"/>
                <w:i/>
                <w:sz w:val="18"/>
                <w:szCs w:val="20"/>
              </w:rPr>
              <w:t>* stopa referencyjna obliczana przy zastosowaniu obowiązującej stopy bazowej KE (na dzień 01.</w:t>
            </w:r>
            <w:r w:rsidR="00C02FFF">
              <w:rPr>
                <w:rFonts w:ascii="Verdana" w:hAnsi="Verdana" w:cs="Times New Roman"/>
                <w:i/>
                <w:sz w:val="18"/>
                <w:szCs w:val="20"/>
              </w:rPr>
              <w:t>0</w:t>
            </w:r>
            <w:r w:rsidR="00295142">
              <w:rPr>
                <w:rFonts w:ascii="Verdana" w:hAnsi="Verdana" w:cs="Times New Roman"/>
                <w:i/>
                <w:sz w:val="18"/>
                <w:szCs w:val="20"/>
              </w:rPr>
              <w:t>9</w:t>
            </w:r>
            <w:r w:rsidRPr="002735B9">
              <w:rPr>
                <w:rFonts w:ascii="Verdana" w:hAnsi="Verdana" w:cs="Times New Roman"/>
                <w:i/>
                <w:sz w:val="18"/>
                <w:szCs w:val="20"/>
              </w:rPr>
              <w:t>.202</w:t>
            </w:r>
            <w:r w:rsidR="00C02FFF">
              <w:rPr>
                <w:rFonts w:ascii="Verdana" w:hAnsi="Verdana" w:cs="Times New Roman"/>
                <w:i/>
                <w:sz w:val="18"/>
                <w:szCs w:val="20"/>
              </w:rPr>
              <w:t>2</w:t>
            </w:r>
            <w:r w:rsidR="004A723F">
              <w:rPr>
                <w:rFonts w:ascii="Verdana" w:hAnsi="Verdana" w:cs="Times New Roman"/>
                <w:i/>
                <w:sz w:val="18"/>
                <w:szCs w:val="20"/>
              </w:rPr>
              <w:t>r.</w:t>
            </w:r>
            <w:r w:rsidRPr="002735B9">
              <w:rPr>
                <w:rFonts w:ascii="Verdana" w:hAnsi="Verdana" w:cs="Times New Roman"/>
                <w:i/>
                <w:sz w:val="18"/>
                <w:szCs w:val="20"/>
              </w:rPr>
              <w:t xml:space="preserve"> </w:t>
            </w:r>
            <w:r w:rsidR="00295142">
              <w:rPr>
                <w:rFonts w:ascii="Verdana" w:hAnsi="Verdana" w:cs="Times New Roman"/>
                <w:i/>
                <w:sz w:val="18"/>
                <w:szCs w:val="20"/>
              </w:rPr>
              <w:t>7,17</w:t>
            </w:r>
            <w:r w:rsidRPr="002735B9">
              <w:rPr>
                <w:rFonts w:ascii="Verdana" w:hAnsi="Verdana" w:cs="Times New Roman"/>
                <w:i/>
                <w:sz w:val="18"/>
                <w:szCs w:val="20"/>
              </w:rPr>
              <w:t>%) powiększonej o marżę od 0,6 do 4 pkt. proc. uzależniona od ratingu przedsiębiorstwa oraz poziomu zabezpieczeń</w:t>
            </w:r>
          </w:p>
        </w:tc>
      </w:tr>
    </w:tbl>
    <w:p w:rsidR="002735B9" w:rsidRDefault="002735B9"/>
    <w:sectPr w:rsidR="002735B9" w:rsidSect="002735B9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03" w:rsidRDefault="002A1603" w:rsidP="002735B9">
      <w:pPr>
        <w:spacing w:after="0" w:line="240" w:lineRule="auto"/>
      </w:pPr>
      <w:r>
        <w:separator/>
      </w:r>
    </w:p>
  </w:endnote>
  <w:endnote w:type="continuationSeparator" w:id="0">
    <w:p w:rsidR="002A1603" w:rsidRDefault="002A1603" w:rsidP="002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03" w:rsidRDefault="002A1603" w:rsidP="002735B9">
      <w:pPr>
        <w:spacing w:after="0" w:line="240" w:lineRule="auto"/>
      </w:pPr>
      <w:r>
        <w:separator/>
      </w:r>
    </w:p>
  </w:footnote>
  <w:footnote w:type="continuationSeparator" w:id="0">
    <w:p w:rsidR="002A1603" w:rsidRDefault="002A1603" w:rsidP="0027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B9" w:rsidRDefault="002735B9">
    <w:pPr>
      <w:pStyle w:val="Nagwek"/>
    </w:pPr>
    <w:r w:rsidRPr="0067604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DDBBBF" wp14:editId="60783606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6570980" cy="545934"/>
          <wp:effectExtent l="0" t="0" r="1270" b="6985"/>
          <wp:wrapTight wrapText="bothSides">
            <wp:wrapPolygon edited="0">
              <wp:start x="0" y="0"/>
              <wp:lineTo x="0" y="21122"/>
              <wp:lineTo x="21542" y="21122"/>
              <wp:lineTo x="21542" y="0"/>
              <wp:lineTo x="0" y="0"/>
            </wp:wrapPolygon>
          </wp:wrapTight>
          <wp:docPr id="11" name="Obraz 11" descr="\\192.168.0.20\Fundusz\Fundusz Pożyczkowy WFR Pożyczka Obrotowy 2020\logotypy_WFR_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Fundusz Pożyczkowy WFR Pożyczka Obrotowy 2020\logotypy_WFR_cz-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54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B9"/>
    <w:rsid w:val="00041301"/>
    <w:rsid w:val="000A5DC4"/>
    <w:rsid w:val="000F4A88"/>
    <w:rsid w:val="001630BD"/>
    <w:rsid w:val="00170A99"/>
    <w:rsid w:val="00226B0A"/>
    <w:rsid w:val="002735B9"/>
    <w:rsid w:val="00295142"/>
    <w:rsid w:val="002A1603"/>
    <w:rsid w:val="002D2E0F"/>
    <w:rsid w:val="003C0212"/>
    <w:rsid w:val="003C5FF8"/>
    <w:rsid w:val="00441237"/>
    <w:rsid w:val="004A723F"/>
    <w:rsid w:val="004C3D31"/>
    <w:rsid w:val="00526416"/>
    <w:rsid w:val="0055418F"/>
    <w:rsid w:val="005922B5"/>
    <w:rsid w:val="005A4BFA"/>
    <w:rsid w:val="005C1332"/>
    <w:rsid w:val="005D5668"/>
    <w:rsid w:val="00757081"/>
    <w:rsid w:val="00807C09"/>
    <w:rsid w:val="008A47A2"/>
    <w:rsid w:val="00A9733B"/>
    <w:rsid w:val="00AB2F82"/>
    <w:rsid w:val="00B8391B"/>
    <w:rsid w:val="00BC3EA2"/>
    <w:rsid w:val="00C02FFF"/>
    <w:rsid w:val="00C31DD4"/>
    <w:rsid w:val="00CD7FC6"/>
    <w:rsid w:val="00CF4FAD"/>
    <w:rsid w:val="00DF43A7"/>
    <w:rsid w:val="00DF5F38"/>
    <w:rsid w:val="00E20FE6"/>
    <w:rsid w:val="00E54257"/>
    <w:rsid w:val="00EA3EBA"/>
    <w:rsid w:val="00F63988"/>
    <w:rsid w:val="00F858A8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EFF0C"/>
  <w15:chartTrackingRefBased/>
  <w15:docId w15:val="{58682825-D35F-4DCA-BE62-F8B689D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5B9"/>
    <w:pPr>
      <w:spacing w:after="2" w:line="264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5B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35B9"/>
  </w:style>
  <w:style w:type="paragraph" w:styleId="Stopka">
    <w:name w:val="footer"/>
    <w:basedOn w:val="Normalny"/>
    <w:link w:val="StopkaZnak"/>
    <w:uiPriority w:val="99"/>
    <w:unhideWhenUsed/>
    <w:rsid w:val="002735B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35B9"/>
  </w:style>
  <w:style w:type="table" w:styleId="Tabela-Siatka">
    <w:name w:val="Table Grid"/>
    <w:basedOn w:val="Standardowy"/>
    <w:uiPriority w:val="39"/>
    <w:rsid w:val="0027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B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CAEE-6086-460D-B6D6-AA7BDDBE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OCWP-E</dc:creator>
  <cp:keywords/>
  <dc:description/>
  <cp:lastModifiedBy>Windows User</cp:lastModifiedBy>
  <cp:revision>3</cp:revision>
  <cp:lastPrinted>2022-05-05T06:56:00Z</cp:lastPrinted>
  <dcterms:created xsi:type="dcterms:W3CDTF">2022-08-24T06:29:00Z</dcterms:created>
  <dcterms:modified xsi:type="dcterms:W3CDTF">2022-08-24T06:35:00Z</dcterms:modified>
</cp:coreProperties>
</file>